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2CE9" w14:textId="5F59C2CA" w:rsidR="00EE31C6" w:rsidRPr="00EB724C" w:rsidRDefault="00EB724C" w:rsidP="002A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b/>
          <w:lang w:val="es-CO"/>
        </w:rPr>
      </w:pPr>
      <w:bookmarkStart w:id="0" w:name="_Hlk3760106"/>
      <w:r w:rsidRPr="00EB724C">
        <w:rPr>
          <w:b/>
          <w:sz w:val="32"/>
          <w:lang w:val="es-CO"/>
        </w:rPr>
        <w:t>E</w:t>
      </w:r>
      <w:r w:rsidR="00EE31C6" w:rsidRPr="00EB724C">
        <w:rPr>
          <w:b/>
          <w:sz w:val="32"/>
          <w:lang w:val="es-CO"/>
        </w:rPr>
        <w:t>SPECIFICACIÓN DE</w:t>
      </w:r>
      <w:r>
        <w:rPr>
          <w:b/>
          <w:sz w:val="32"/>
          <w:lang w:val="es-CO"/>
        </w:rPr>
        <w:t xml:space="preserve"> UNIDADES DE ENSEÑANZA DISEÑADAS POR GRANDES IDEAS</w:t>
      </w:r>
    </w:p>
    <w:p w14:paraId="3718C9C7" w14:textId="3BF7DEAD" w:rsidR="00EE31C6" w:rsidRDefault="00EB724C" w:rsidP="00EB724C">
      <w:pPr>
        <w:spacing w:before="240" w:line="276" w:lineRule="auto"/>
        <w:jc w:val="center"/>
        <w:rPr>
          <w:b/>
          <w:sz w:val="32"/>
          <w:lang w:val="es-CO"/>
        </w:rPr>
      </w:pPr>
      <w:r w:rsidRPr="00EB724C">
        <w:rPr>
          <w:b/>
          <w:sz w:val="32"/>
          <w:lang w:val="es-CO"/>
        </w:rPr>
        <w:t>HOJA DE TRABAJO No. 2 (HT2)</w:t>
      </w:r>
    </w:p>
    <w:p w14:paraId="1A8485AA" w14:textId="16CB4062" w:rsidR="00943643" w:rsidRPr="0017087D" w:rsidRDefault="00943643" w:rsidP="00900ADA">
      <w:pPr>
        <w:spacing w:before="240"/>
        <w:jc w:val="center"/>
        <w:rPr>
          <w:b/>
          <w:sz w:val="32"/>
          <w:szCs w:val="32"/>
          <w:lang w:val="es-CO"/>
        </w:rPr>
      </w:pPr>
      <w:r w:rsidRPr="0017087D">
        <w:rPr>
          <w:b/>
          <w:sz w:val="32"/>
          <w:szCs w:val="32"/>
          <w:lang w:val="es-CO"/>
        </w:rPr>
        <w:t xml:space="preserve">Curso </w:t>
      </w:r>
      <w:r w:rsidR="006333B9">
        <w:rPr>
          <w:b/>
          <w:sz w:val="32"/>
          <w:szCs w:val="32"/>
          <w:lang w:val="es-CO"/>
        </w:rPr>
        <w:t>CBU Memorias musicales del siglo XIX en Colombia</w:t>
      </w:r>
    </w:p>
    <w:p w14:paraId="7FE98AEA" w14:textId="3CF36E4B" w:rsidR="002B1358" w:rsidRDefault="002B1358" w:rsidP="00FD1016">
      <w:pPr>
        <w:rPr>
          <w:lang w:val="es-CO"/>
        </w:rPr>
      </w:pPr>
    </w:p>
    <w:p w14:paraId="61DB0A16" w14:textId="0C72B5ED" w:rsidR="00FD1016" w:rsidRPr="00EB724C" w:rsidRDefault="00FD1016" w:rsidP="00FD1016">
      <w:pPr>
        <w:rPr>
          <w:lang w:val="es-CO"/>
        </w:rPr>
      </w:pPr>
      <w:r>
        <w:rPr>
          <w:lang w:val="es-CO"/>
        </w:rPr>
        <w:t xml:space="preserve">La siguiente tabla del diseño global del curso brinda el </w:t>
      </w:r>
      <w:r w:rsidR="00A100B0">
        <w:rPr>
          <w:lang w:val="es-CO"/>
        </w:rPr>
        <w:t>contexto para el diseño a nivel de unidades de enseñanza</w:t>
      </w:r>
    </w:p>
    <w:p w14:paraId="3463A9B0" w14:textId="77777777" w:rsidR="00EE31C6" w:rsidRPr="001E2F5C" w:rsidRDefault="00EE31C6" w:rsidP="00EE31C6">
      <w:pPr>
        <w:ind w:left="720"/>
        <w:rPr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EE31C6" w:rsidRPr="00D2580B" w14:paraId="528F6610" w14:textId="77777777" w:rsidTr="00EB724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D0555F9" w14:textId="6125DDA8" w:rsidR="00EB724C" w:rsidRPr="00493887" w:rsidRDefault="00493887" w:rsidP="00493887">
            <w:pPr>
              <w:pStyle w:val="Descripcin"/>
              <w:spacing w:after="0"/>
              <w:rPr>
                <w:lang w:val="es-ES"/>
              </w:rPr>
            </w:pPr>
            <w:r w:rsidRPr="00493887">
              <w:rPr>
                <w:lang w:val="es-ES"/>
              </w:rPr>
              <w:t xml:space="preserve">HT1 Tabla 02. Datos </w:t>
            </w:r>
            <w:r>
              <w:rPr>
                <w:lang w:val="es-ES"/>
              </w:rPr>
              <w:t>de base para la HT2</w:t>
            </w:r>
          </w:p>
          <w:tbl>
            <w:tblPr>
              <w:tblStyle w:val="Tablaconcuadrcula"/>
              <w:tblW w:w="8221" w:type="dxa"/>
              <w:tblInd w:w="988" w:type="dxa"/>
              <w:tblLook w:val="04A0" w:firstRow="1" w:lastRow="0" w:firstColumn="1" w:lastColumn="0" w:noHBand="0" w:noVBand="1"/>
            </w:tblPr>
            <w:tblGrid>
              <w:gridCol w:w="3580"/>
              <w:gridCol w:w="4641"/>
            </w:tblGrid>
            <w:tr w:rsidR="00EB724C" w:rsidRPr="00D2580B" w14:paraId="6598A791" w14:textId="77777777" w:rsidTr="006333B9">
              <w:tc>
                <w:tcPr>
                  <w:tcW w:w="3580" w:type="dxa"/>
                  <w:vMerge w:val="restart"/>
                </w:tcPr>
                <w:p w14:paraId="213DF963" w14:textId="6195136B" w:rsidR="00EB724C" w:rsidRPr="00A0101D" w:rsidRDefault="00A0101D" w:rsidP="0056195C">
                  <w:pPr>
                    <w:rPr>
                      <w:b/>
                      <w:sz w:val="28"/>
                      <w:lang w:val="es-ES"/>
                    </w:rPr>
                  </w:pPr>
                  <w:r w:rsidRPr="00A0101D">
                    <w:rPr>
                      <w:b/>
                      <w:sz w:val="28"/>
                      <w:lang w:val="es-ES"/>
                    </w:rPr>
                    <w:t>GI-1</w:t>
                  </w:r>
                </w:p>
                <w:p w14:paraId="357E182F" w14:textId="4D5558C1" w:rsidR="00A0101D" w:rsidRPr="00A0101D" w:rsidRDefault="00A0101D" w:rsidP="006333B9">
                  <w:pPr>
                    <w:rPr>
                      <w:b/>
                      <w:sz w:val="32"/>
                      <w:lang w:val="es-CO"/>
                    </w:rPr>
                  </w:pP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El estudio de la música en Colombia durante el siglo XIX es indisociable del conocimiento del contexto social en el que se produce y se consume.</w:t>
                  </w:r>
                  <w:r w:rsidRPr="00A0101D">
                    <w:rPr>
                      <w:rStyle w:val="eop"/>
                      <w:color w:val="000000"/>
                      <w:shd w:val="clear" w:color="auto" w:fill="FFFFFF"/>
                      <w:lang w:val="es-CO"/>
                    </w:rPr>
                    <w:t> </w:t>
                  </w:r>
                </w:p>
              </w:tc>
              <w:tc>
                <w:tcPr>
                  <w:tcW w:w="4641" w:type="dxa"/>
                </w:tcPr>
                <w:p w14:paraId="38C43634" w14:textId="77777777" w:rsidR="00A0101D" w:rsidRPr="00A0101D" w:rsidRDefault="00A0101D" w:rsidP="0056195C">
                  <w:pPr>
                    <w:rPr>
                      <w:b/>
                      <w:sz w:val="28"/>
                      <w:lang w:val="es-ES"/>
                    </w:rPr>
                  </w:pPr>
                  <w:r w:rsidRPr="00A0101D">
                    <w:rPr>
                      <w:b/>
                      <w:sz w:val="28"/>
                      <w:lang w:val="es-ES"/>
                    </w:rPr>
                    <w:t>EP1</w:t>
                  </w:r>
                  <w:r w:rsidR="00EB724C" w:rsidRPr="00A0101D">
                    <w:rPr>
                      <w:b/>
                      <w:sz w:val="28"/>
                      <w:lang w:val="es-ES"/>
                    </w:rPr>
                    <w:t>.1</w:t>
                  </w:r>
                  <w:r w:rsidRPr="00A0101D">
                    <w:rPr>
                      <w:b/>
                      <w:sz w:val="28"/>
                      <w:lang w:val="es-ES"/>
                    </w:rPr>
                    <w:t xml:space="preserve"> </w:t>
                  </w:r>
                </w:p>
                <w:p w14:paraId="4172A109" w14:textId="4F57A45E" w:rsidR="00EB724C" w:rsidRPr="00A0101D" w:rsidRDefault="00A0101D" w:rsidP="00452E4A">
                  <w:pPr>
                    <w:rPr>
                      <w:b/>
                      <w:sz w:val="32"/>
                      <w:lang w:val="es-CO"/>
                    </w:rPr>
                  </w:pP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Al finalizar esta semana comprendo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contextualspellingandgrammarerror"/>
                      <w:color w:val="000000"/>
                      <w:shd w:val="clear" w:color="auto" w:fill="FFFFFF"/>
                      <w:lang w:val="es-CO"/>
                    </w:rPr>
                    <w:t>que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durante el siglo XIX, la producción musical en Colombia y su consumo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estuvieron asociados a contextos espec</w:t>
                  </w:r>
                  <w:r w:rsidRPr="00A0101D">
                    <w:rPr>
                      <w:rStyle w:val="normaltextrun"/>
                      <w:rFonts w:cs="Arial Narrow"/>
                      <w:color w:val="000000"/>
                      <w:shd w:val="clear" w:color="auto" w:fill="FFFFFF"/>
                      <w:lang w:val="es-CO"/>
                    </w:rPr>
                    <w:t>í</w:t>
                  </w: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ficos de entretenimiento o de celebraciones</w:t>
                  </w:r>
                  <w:r w:rsidRPr="00A0101D">
                    <w:rPr>
                      <w:rStyle w:val="normaltextrun"/>
                      <w:rFonts w:ascii="Arial" w:hAnsi="Arial" w:cs="Arial"/>
                      <w:color w:val="263238"/>
                      <w:shd w:val="clear" w:color="auto" w:fill="FFFFFF"/>
                      <w:lang w:val="es-CO"/>
                    </w:rPr>
                    <w:t>.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eop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 </w:t>
                  </w:r>
                </w:p>
              </w:tc>
            </w:tr>
            <w:tr w:rsidR="00EB724C" w:rsidRPr="00D2580B" w14:paraId="26216960" w14:textId="77777777" w:rsidTr="006333B9">
              <w:tc>
                <w:tcPr>
                  <w:tcW w:w="3580" w:type="dxa"/>
                  <w:vMerge/>
                </w:tcPr>
                <w:p w14:paraId="3EB7717E" w14:textId="77777777" w:rsidR="00EB724C" w:rsidRPr="00A0101D" w:rsidRDefault="00EB724C" w:rsidP="0056195C">
                  <w:pPr>
                    <w:rPr>
                      <w:b/>
                      <w:sz w:val="32"/>
                      <w:lang w:val="es-CO"/>
                    </w:rPr>
                  </w:pPr>
                </w:p>
              </w:tc>
              <w:tc>
                <w:tcPr>
                  <w:tcW w:w="4641" w:type="dxa"/>
                </w:tcPr>
                <w:p w14:paraId="3B7C5FA1" w14:textId="77777777" w:rsidR="00A0101D" w:rsidRPr="00A0101D" w:rsidRDefault="00A0101D" w:rsidP="00A0101D">
                  <w:pPr>
                    <w:rPr>
                      <w:b/>
                      <w:sz w:val="28"/>
                      <w:lang w:val="es-ES"/>
                    </w:rPr>
                  </w:pPr>
                  <w:r w:rsidRPr="00A0101D">
                    <w:rPr>
                      <w:b/>
                      <w:sz w:val="28"/>
                      <w:lang w:val="es-ES"/>
                    </w:rPr>
                    <w:t xml:space="preserve">EP1.2 </w:t>
                  </w:r>
                </w:p>
                <w:p w14:paraId="1E89C398" w14:textId="04F53DFC" w:rsidR="00EB724C" w:rsidRPr="00A0101D" w:rsidRDefault="00A0101D" w:rsidP="00452E4A">
                  <w:pPr>
                    <w:rPr>
                      <w:b/>
                      <w:sz w:val="32"/>
                      <w:lang w:val="es-CO"/>
                    </w:rPr>
                  </w:pP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Al finalizar esta semana comprendo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contextualspellingandgrammarerror"/>
                      <w:color w:val="000000"/>
                      <w:shd w:val="clear" w:color="auto" w:fill="FFFFFF"/>
                      <w:lang w:val="es-CO"/>
                    </w:rPr>
                    <w:t>que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durante el siglo XIX, las personas tenían contacto con diferentes músicas, según su profesión, género y origen social.</w:t>
                  </w:r>
                  <w:r w:rsidRPr="00A0101D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A0101D">
                    <w:rPr>
                      <w:rStyle w:val="eop"/>
                      <w:color w:val="000000"/>
                      <w:shd w:val="clear" w:color="auto" w:fill="FFFFFF"/>
                      <w:lang w:val="es-CO"/>
                    </w:rPr>
                    <w:t> </w:t>
                  </w:r>
                </w:p>
              </w:tc>
            </w:tr>
            <w:tr w:rsidR="00EB724C" w:rsidRPr="00D2580B" w14:paraId="46F3AD9D" w14:textId="77777777" w:rsidTr="006333B9">
              <w:tc>
                <w:tcPr>
                  <w:tcW w:w="3580" w:type="dxa"/>
                  <w:vMerge/>
                </w:tcPr>
                <w:p w14:paraId="04D636BC" w14:textId="77777777" w:rsidR="00EB724C" w:rsidRPr="00A0101D" w:rsidRDefault="00EB724C" w:rsidP="0056195C">
                  <w:pPr>
                    <w:rPr>
                      <w:b/>
                      <w:sz w:val="32"/>
                      <w:lang w:val="es-CO"/>
                    </w:rPr>
                  </w:pPr>
                </w:p>
              </w:tc>
              <w:tc>
                <w:tcPr>
                  <w:tcW w:w="4641" w:type="dxa"/>
                </w:tcPr>
                <w:p w14:paraId="3C7408DF" w14:textId="67B02CCE" w:rsidR="00452E4A" w:rsidRPr="00A0101D" w:rsidRDefault="00452E4A" w:rsidP="00452E4A">
                  <w:pPr>
                    <w:rPr>
                      <w:b/>
                      <w:sz w:val="28"/>
                      <w:lang w:val="es-ES"/>
                    </w:rPr>
                  </w:pPr>
                  <w:r w:rsidRPr="00A0101D">
                    <w:rPr>
                      <w:b/>
                      <w:sz w:val="28"/>
                      <w:lang w:val="es-ES"/>
                    </w:rPr>
                    <w:t>EP1.</w:t>
                  </w:r>
                  <w:r>
                    <w:rPr>
                      <w:b/>
                      <w:sz w:val="28"/>
                      <w:lang w:val="es-ES"/>
                    </w:rPr>
                    <w:t>3</w:t>
                  </w:r>
                  <w:r w:rsidRPr="00A0101D">
                    <w:rPr>
                      <w:b/>
                      <w:sz w:val="28"/>
                      <w:lang w:val="es-ES"/>
                    </w:rPr>
                    <w:t xml:space="preserve"> </w:t>
                  </w:r>
                </w:p>
                <w:p w14:paraId="28FE82FB" w14:textId="7EF1E170" w:rsidR="00EB724C" w:rsidRPr="00452E4A" w:rsidRDefault="00452E4A" w:rsidP="00452E4A">
                  <w:pPr>
                    <w:rPr>
                      <w:b/>
                      <w:sz w:val="32"/>
                      <w:lang w:val="es-CO"/>
                    </w:rPr>
                  </w:pPr>
                  <w:r w:rsidRPr="00452E4A">
                    <w:rPr>
                      <w:rStyle w:val="normaltextrun"/>
                      <w:color w:val="000000"/>
                      <w:shd w:val="clear" w:color="auto" w:fill="FFFFFF"/>
                      <w:lang w:val="es-CO"/>
                    </w:rPr>
                    <w:t>La música en Colombia durante el siglo XIX pone en escena diferentes personajes como lo son los compositores, los intérpretes, los críticos y los pedagogos, en un contexto social que se caracteriza por su compartimentación.</w:t>
                  </w:r>
                  <w:r w:rsidRPr="00452E4A">
                    <w:rPr>
                      <w:rStyle w:val="normaltextrun"/>
                      <w:rFonts w:ascii="Arial" w:hAnsi="Arial" w:cs="Arial"/>
                      <w:color w:val="000000"/>
                      <w:shd w:val="clear" w:color="auto" w:fill="FFFFFF"/>
                      <w:lang w:val="es-CO"/>
                    </w:rPr>
                    <w:t> </w:t>
                  </w:r>
                  <w:r w:rsidRPr="00452E4A">
                    <w:rPr>
                      <w:rStyle w:val="eop"/>
                      <w:color w:val="000000"/>
                      <w:shd w:val="clear" w:color="auto" w:fill="FFFFFF"/>
                      <w:lang w:val="es-CO"/>
                    </w:rPr>
                    <w:t> </w:t>
                  </w:r>
                </w:p>
              </w:tc>
            </w:tr>
          </w:tbl>
          <w:p w14:paraId="3322A136" w14:textId="41EEA3D1" w:rsidR="00EB724C" w:rsidRPr="00A0101D" w:rsidRDefault="00EB724C" w:rsidP="007B5417">
            <w:pPr>
              <w:pStyle w:val="Sinespaciado"/>
              <w:rPr>
                <w:lang w:val="es-CO"/>
              </w:rPr>
            </w:pPr>
          </w:p>
        </w:tc>
      </w:tr>
    </w:tbl>
    <w:p w14:paraId="78154F23" w14:textId="77777777" w:rsidR="00DC4F88" w:rsidRDefault="00DC4F88" w:rsidP="00DC4F88">
      <w:pPr>
        <w:rPr>
          <w:lang w:val="es-ES"/>
        </w:rPr>
      </w:pPr>
    </w:p>
    <w:p w14:paraId="4D28814D" w14:textId="77777777" w:rsidR="006333B9" w:rsidRDefault="006333B9" w:rsidP="006333B9">
      <w:pPr>
        <w:pStyle w:val="Ttulo1"/>
        <w:tabs>
          <w:tab w:val="left" w:pos="990"/>
        </w:tabs>
        <w:spacing w:before="0"/>
        <w:ind w:left="1418" w:hanging="1418"/>
        <w:rPr>
          <w:lang w:val="es-ES"/>
        </w:rPr>
        <w:sectPr w:rsidR="006333B9" w:rsidSect="002A5383">
          <w:headerReference w:type="default" r:id="rId8"/>
          <w:footerReference w:type="default" r:id="rId9"/>
          <w:pgSz w:w="12240" w:h="15840"/>
          <w:pgMar w:top="1440" w:right="1041" w:bottom="1440" w:left="1440" w:header="720" w:footer="720" w:gutter="0"/>
          <w:pgNumType w:start="21"/>
          <w:cols w:space="720"/>
          <w:docGrid w:linePitch="360"/>
        </w:sectPr>
      </w:pPr>
    </w:p>
    <w:p w14:paraId="57A055E4" w14:textId="2F50E330" w:rsidR="00EE31C6" w:rsidRDefault="006333B9" w:rsidP="006333B9">
      <w:pPr>
        <w:pStyle w:val="Ttulo1"/>
        <w:tabs>
          <w:tab w:val="left" w:pos="990"/>
        </w:tabs>
        <w:spacing w:before="0"/>
        <w:ind w:left="1418" w:hanging="1418"/>
        <w:rPr>
          <w:lang w:val="es-CO"/>
        </w:rPr>
      </w:pPr>
      <w:r>
        <w:rPr>
          <w:lang w:val="es-ES"/>
        </w:rPr>
        <w:lastRenderedPageBreak/>
        <w:t>[Etapa U1]</w:t>
      </w:r>
      <w:r>
        <w:rPr>
          <w:lang w:val="es-ES"/>
        </w:rPr>
        <w:tab/>
      </w:r>
      <w:r w:rsidR="00586F44" w:rsidRPr="00586F44">
        <w:rPr>
          <w:lang w:val="es-ES"/>
        </w:rPr>
        <w:t xml:space="preserve">Diseño de unidad de enseñanza - </w:t>
      </w:r>
      <w:r w:rsidR="00586F44">
        <w:rPr>
          <w:lang w:val="es-ES"/>
        </w:rPr>
        <w:t>e</w:t>
      </w:r>
      <w:r w:rsidR="00EB724C">
        <w:rPr>
          <w:lang w:val="es-ES"/>
        </w:rPr>
        <w:t>tapa 1:</w:t>
      </w:r>
      <w:r w:rsidR="00EE31C6">
        <w:rPr>
          <w:lang w:val="es-ES"/>
        </w:rPr>
        <w:t xml:space="preserve"> </w:t>
      </w:r>
      <w:r w:rsidR="00EB724C">
        <w:rPr>
          <w:lang w:val="es-ES"/>
        </w:rPr>
        <w:tab/>
      </w:r>
      <w:r w:rsidR="00EE31C6">
        <w:rPr>
          <w:lang w:val="es-CO"/>
        </w:rPr>
        <w:t>¿Q</w:t>
      </w:r>
      <w:r w:rsidR="00EB724C">
        <w:rPr>
          <w:lang w:val="es-CO"/>
        </w:rPr>
        <w:t>ué se deberá aprender</w:t>
      </w:r>
      <w:r w:rsidR="00EE31C6">
        <w:rPr>
          <w:lang w:val="es-CO"/>
        </w:rPr>
        <w:t xml:space="preserve"> </w:t>
      </w:r>
      <w:r w:rsidR="00EB724C">
        <w:rPr>
          <w:lang w:val="es-CO"/>
        </w:rPr>
        <w:t xml:space="preserve">bien en esta unidad de enseñanza, </w:t>
      </w:r>
      <w:r w:rsidR="007B5417">
        <w:rPr>
          <w:lang w:val="es-CO"/>
        </w:rPr>
        <w:t>en que se desarrolla</w:t>
      </w:r>
      <w:r w:rsidR="00EB724C">
        <w:rPr>
          <w:lang w:val="es-CO"/>
        </w:rPr>
        <w:t xml:space="preserve"> la GI-</w:t>
      </w:r>
      <w:r w:rsidR="00DF3E18">
        <w:rPr>
          <w:lang w:val="es-CO"/>
        </w:rPr>
        <w:t>1</w:t>
      </w:r>
      <w:r w:rsidR="00EE31C6">
        <w:rPr>
          <w:lang w:val="es-CO"/>
        </w:rPr>
        <w:t>?</w:t>
      </w:r>
    </w:p>
    <w:p w14:paraId="69C4A1A8" w14:textId="77777777" w:rsidR="00DC4F88" w:rsidRPr="00DC4F88" w:rsidRDefault="00DC4F88" w:rsidP="00DC4F88">
      <w:pPr>
        <w:rPr>
          <w:lang w:val="es-CO"/>
        </w:rPr>
      </w:pPr>
    </w:p>
    <w:p w14:paraId="5F4B92C6" w14:textId="2B965866" w:rsidR="00DC4F88" w:rsidRDefault="00493887" w:rsidP="00DC4F88">
      <w:pPr>
        <w:pStyle w:val="Ttulo2"/>
        <w:rPr>
          <w:lang w:val="es-CO"/>
        </w:rPr>
      </w:pPr>
      <w:r w:rsidRPr="00DC4F88">
        <w:rPr>
          <w:lang w:val="es-CO"/>
        </w:rPr>
        <w:t>4.0</w:t>
      </w:r>
      <w:r w:rsidRPr="00DC4F88">
        <w:rPr>
          <w:lang w:val="es-CO"/>
        </w:rPr>
        <w:tab/>
      </w:r>
      <w:r w:rsidR="00DC4F88">
        <w:rPr>
          <w:lang w:val="es-CO"/>
        </w:rPr>
        <w:t>Lo que h</w:t>
      </w:r>
      <w:r w:rsidR="00DF3E18">
        <w:rPr>
          <w:lang w:val="es-CO"/>
        </w:rPr>
        <w:t>ay que enseñar acerca de la GI-1</w:t>
      </w:r>
    </w:p>
    <w:p w14:paraId="52FEFEFD" w14:textId="7375DA5A" w:rsidR="008C1672" w:rsidRDefault="008C1672" w:rsidP="00EE31C6">
      <w:pPr>
        <w:rPr>
          <w:color w:val="7F7F7F" w:themeColor="text1" w:themeTint="80"/>
          <w:lang w:val="es-CO"/>
        </w:rPr>
      </w:pPr>
    </w:p>
    <w:p w14:paraId="60E7F1F9" w14:textId="4043F426" w:rsidR="008C1672" w:rsidRDefault="008C1672" w:rsidP="00486778">
      <w:pPr>
        <w:pStyle w:val="Descripcin"/>
        <w:spacing w:after="0"/>
        <w:rPr>
          <w:lang w:val="es-ES"/>
        </w:rPr>
      </w:pPr>
      <w:bookmarkStart w:id="1" w:name="_Hlk3718590"/>
      <w:r>
        <w:rPr>
          <w:lang w:val="es-ES"/>
        </w:rPr>
        <w:t xml:space="preserve">HT2 – Tabla 11. Especificación de ¿qué enseñar en una unidad de enseñanza para lograr los entendimientos perdurables de la gran idea que busca desarrollar? </w:t>
      </w:r>
    </w:p>
    <w:tbl>
      <w:tblPr>
        <w:tblW w:w="12940" w:type="dxa"/>
        <w:tblLook w:val="04A0" w:firstRow="1" w:lastRow="0" w:firstColumn="1" w:lastColumn="0" w:noHBand="0" w:noVBand="1"/>
      </w:tblPr>
      <w:tblGrid>
        <w:gridCol w:w="2967"/>
        <w:gridCol w:w="1935"/>
        <w:gridCol w:w="1934"/>
        <w:gridCol w:w="2243"/>
        <w:gridCol w:w="3861"/>
      </w:tblGrid>
      <w:tr w:rsidR="008C1672" w:rsidRPr="00D2580B" w14:paraId="11544C40" w14:textId="77777777" w:rsidTr="67E3B6FF">
        <w:trPr>
          <w:trHeight w:val="315"/>
          <w:tblHeader/>
        </w:trPr>
        <w:tc>
          <w:tcPr>
            <w:tcW w:w="1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bookmarkEnd w:id="1"/>
          <w:p w14:paraId="24028FD3" w14:textId="16051252" w:rsidR="008C1672" w:rsidRPr="001B6E9D" w:rsidRDefault="001B6E9D" w:rsidP="001B6E9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GI-1</w:t>
            </w:r>
            <w:r w:rsidR="008C1672"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:</w:t>
            </w: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El estudio de la música en Colombia durante el siglo XIX es indisociable del conocimiento del contexto social en el que se produce y se consume.</w:t>
            </w:r>
            <w:r w:rsidRPr="00A0101D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</w:p>
        </w:tc>
      </w:tr>
      <w:tr w:rsidR="00486778" w:rsidRPr="008C1672" w14:paraId="3810E738" w14:textId="77777777" w:rsidTr="67E3B6FF">
        <w:trPr>
          <w:trHeight w:val="615"/>
          <w:tblHeader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E85F" w14:textId="77777777" w:rsidR="008C1672" w:rsidRPr="008C1672" w:rsidRDefault="67E3B6FF" w:rsidP="67E3B6FF">
            <w:pPr>
              <w:jc w:val="center"/>
              <w:rPr>
                <w:b/>
                <w:bCs/>
                <w:highlight w:val="lightGray"/>
              </w:rPr>
            </w:pPr>
            <w:r w:rsidRPr="67E3B6FF">
              <w:rPr>
                <w:b/>
                <w:bCs/>
                <w:highlight w:val="lightGray"/>
              </w:rPr>
              <w:t>Entendimientos perdurables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87C66" w14:textId="77777777" w:rsidR="008C1672" w:rsidRPr="008C1672" w:rsidRDefault="67E3B6FF" w:rsidP="67E3B6FF">
            <w:pPr>
              <w:jc w:val="center"/>
              <w:rPr>
                <w:b/>
                <w:bCs/>
                <w:highlight w:val="lightGray"/>
              </w:rPr>
            </w:pPr>
            <w:r w:rsidRPr="67E3B6FF">
              <w:rPr>
                <w:b/>
                <w:bCs/>
                <w:highlight w:val="lightGray"/>
              </w:rPr>
              <w:t>Conceptos previos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92082" w14:textId="77777777" w:rsidR="008C1672" w:rsidRPr="008C1672" w:rsidRDefault="67E3B6FF" w:rsidP="67E3B6FF">
            <w:pPr>
              <w:jc w:val="center"/>
              <w:rPr>
                <w:b/>
                <w:bCs/>
                <w:highlight w:val="lightGray"/>
              </w:rPr>
            </w:pPr>
            <w:r w:rsidRPr="67E3B6FF">
              <w:rPr>
                <w:b/>
                <w:bCs/>
                <w:highlight w:val="lightGray"/>
              </w:rPr>
              <w:t>Conceptos errados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0F1B1" w14:textId="77777777" w:rsidR="008C1672" w:rsidRPr="008C1672" w:rsidRDefault="67E3B6FF" w:rsidP="67E3B6FF">
            <w:pPr>
              <w:jc w:val="center"/>
              <w:rPr>
                <w:b/>
                <w:bCs/>
                <w:highlight w:val="lightGray"/>
              </w:rPr>
            </w:pPr>
            <w:r w:rsidRPr="67E3B6FF">
              <w:rPr>
                <w:b/>
                <w:bCs/>
                <w:highlight w:val="lightGray"/>
              </w:rPr>
              <w:t xml:space="preserve">Resultados observables 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504AC" w14:textId="77777777" w:rsidR="008C1672" w:rsidRPr="008C1672" w:rsidRDefault="67E3B6FF" w:rsidP="67E3B6FF">
            <w:pPr>
              <w:jc w:val="center"/>
              <w:rPr>
                <w:b/>
                <w:bCs/>
              </w:rPr>
            </w:pPr>
            <w:r w:rsidRPr="67E3B6FF">
              <w:rPr>
                <w:b/>
                <w:bCs/>
                <w:highlight w:val="lightGray"/>
              </w:rPr>
              <w:t>Interrogantes esenciales</w:t>
            </w:r>
          </w:p>
        </w:tc>
      </w:tr>
      <w:tr w:rsidR="008C1672" w:rsidRPr="00D2580B" w14:paraId="3BE75176" w14:textId="77777777" w:rsidTr="67E3B6FF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24076" w14:textId="08CD15E3" w:rsidR="008C1672" w:rsidRPr="001B6E9D" w:rsidRDefault="008C1672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EP</w:t>
            </w:r>
            <w:r w:rsidR="001B6E9D"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1</w:t>
            </w: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.1</w:t>
            </w:r>
            <w:r w:rsidR="001B6E9D"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  <w:p w14:paraId="44E1F43A" w14:textId="2E4E52E5" w:rsidR="00486778" w:rsidRPr="001B6E9D" w:rsidRDefault="001B6E9D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Al finalizar esta semana comprendo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contextualspellingandgrammarerror"/>
                <w:color w:val="000000"/>
                <w:shd w:val="clear" w:color="auto" w:fill="FFFFFF"/>
                <w:lang w:val="es-CO"/>
              </w:rPr>
              <w:t>que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durante el siglo XIX, la producción musical en Colombia y su</w:t>
            </w:r>
            <w:r w:rsidR="006333B9">
              <w:rPr>
                <w:rStyle w:val="normaltextrun"/>
                <w:color w:val="000000"/>
                <w:shd w:val="clear" w:color="auto" w:fill="FFFFFF"/>
                <w:lang w:val="es-CO"/>
              </w:rPr>
              <w:t xml:space="preserve"> c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onsumo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estuvieron asociados a contextos espec</w:t>
            </w:r>
            <w:r w:rsidRPr="00A0101D">
              <w:rPr>
                <w:rStyle w:val="normaltextrun"/>
                <w:rFonts w:cs="Arial Narrow"/>
                <w:color w:val="000000"/>
                <w:shd w:val="clear" w:color="auto" w:fill="FFFFFF"/>
                <w:lang w:val="es-CO"/>
              </w:rPr>
              <w:t>í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ficos de entretenimiento o de celebraciones</w:t>
            </w:r>
            <w:r w:rsidRPr="00A0101D">
              <w:rPr>
                <w:rStyle w:val="normaltextrun"/>
                <w:rFonts w:ascii="Arial" w:hAnsi="Arial" w:cs="Arial"/>
                <w:color w:val="263238"/>
                <w:shd w:val="clear" w:color="auto" w:fill="FFFFFF"/>
                <w:lang w:val="es-CO"/>
              </w:rPr>
              <w:t>.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</w:p>
          <w:p w14:paraId="7B8313AD" w14:textId="551366F9" w:rsidR="008C1672" w:rsidRPr="001B6E9D" w:rsidRDefault="008C1672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5366" w14:textId="77777777" w:rsidR="00F4709C" w:rsidRPr="00F4709C" w:rsidRDefault="007110B7" w:rsidP="000D2C9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F4709C">
              <w:rPr>
                <w:rStyle w:val="normaltextrun"/>
                <w:rFonts w:ascii="Arial Narrow" w:hAnsi="Arial Narrow" w:cs="Segoe UI"/>
                <w:color w:val="000000"/>
              </w:rPr>
              <w:t>Nociones de la historia de Colombia durante el siglo XIX</w:t>
            </w:r>
          </w:p>
          <w:p w14:paraId="0DAB45F3" w14:textId="7B396550" w:rsidR="007110B7" w:rsidRPr="00F4709C" w:rsidRDefault="007110B7" w:rsidP="000D2C9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4709C">
              <w:rPr>
                <w:rStyle w:val="normaltextrun"/>
                <w:rFonts w:ascii="Arial Narrow" w:hAnsi="Arial Narrow" w:cs="Segoe UI"/>
                <w:color w:val="000000"/>
              </w:rPr>
              <w:t>Nociones de historia de la música en Europa del siglo XIX.</w:t>
            </w:r>
            <w:r w:rsidRPr="00F4709C">
              <w:rPr>
                <w:rStyle w:val="eop"/>
                <w:rFonts w:ascii="Arial Narrow" w:hAnsi="Arial Narrow" w:cs="Segoe UI"/>
              </w:rPr>
              <w:t> </w:t>
            </w:r>
          </w:p>
          <w:p w14:paraId="6E96C6DC" w14:textId="77777777" w:rsidR="008C1672" w:rsidRPr="001B6E9D" w:rsidRDefault="008C1672" w:rsidP="000C0E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DF3C" w14:textId="69BABAA9" w:rsidR="008C1672" w:rsidRPr="007110B7" w:rsidRDefault="007110B7" w:rsidP="000C0E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n-US"/>
              </w:rPr>
            </w:pPr>
            <w:r w:rsidRPr="007110B7">
              <w:rPr>
                <w:rStyle w:val="normaltextrun"/>
                <w:color w:val="000000"/>
                <w:shd w:val="clear" w:color="auto" w:fill="FFFFFF"/>
                <w:lang w:val="es-CO"/>
              </w:rPr>
              <w:t>La música colombiana del siglo XIX carece de valor porque no se puede comparar con la música europea.</w:t>
            </w:r>
            <w:r w:rsidRPr="007110B7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35F1" w14:textId="1F7B4047" w:rsidR="008C1672" w:rsidRPr="005A7FF7" w:rsidRDefault="005A7FF7" w:rsidP="000C0E47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CO" w:eastAsia="en-US"/>
              </w:rPr>
            </w:pPr>
            <w:r w:rsidRPr="005A7FF7">
              <w:rPr>
                <w:rStyle w:val="normaltextrun"/>
                <w:color w:val="000000"/>
                <w:shd w:val="clear" w:color="auto" w:fill="FFFFFF"/>
                <w:lang w:val="es-CO"/>
              </w:rPr>
              <w:t>Soy capaz de sintetizar mis aprendizajes sobre las prácticas musicales en Colombia en el siglo XIX a través de expresiones gráficas/conceptuales.</w:t>
            </w:r>
            <w:r w:rsidRPr="005A7FF7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</w:p>
          <w:p w14:paraId="72E82CA4" w14:textId="77777777" w:rsidR="008C1672" w:rsidRPr="005A7FF7" w:rsidRDefault="008C1672" w:rsidP="000C0E47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CO" w:eastAsia="en-US"/>
              </w:rPr>
            </w:pPr>
          </w:p>
          <w:p w14:paraId="2B1BB745" w14:textId="5AD74EF0" w:rsidR="008C1672" w:rsidRPr="005A7FF7" w:rsidRDefault="008C1672" w:rsidP="000C0E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4E029" w14:textId="0B728473" w:rsidR="005A7FF7" w:rsidRPr="006333B9" w:rsidRDefault="005A7FF7" w:rsidP="006333B9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 w:rsidRPr="006333B9">
              <w:rPr>
                <w:rStyle w:val="normaltextrun"/>
                <w:rFonts w:ascii="Arial Narrow" w:hAnsi="Arial Narrow" w:cs="Segoe UI"/>
                <w:color w:val="000000"/>
              </w:rPr>
              <w:t>¿</w:t>
            </w:r>
            <w:r w:rsidRPr="006333B9">
              <w:rPr>
                <w:rStyle w:val="normaltextrun"/>
                <w:rFonts w:ascii="Arial Narrow" w:hAnsi="Arial Narrow" w:cs="Calibri Light"/>
                <w:color w:val="000000"/>
              </w:rPr>
              <w:t>Cuáles eventos o instituciones musicales</w:t>
            </w:r>
            <w:r w:rsidR="006333B9" w:rsidRPr="006333B9">
              <w:rPr>
                <w:rStyle w:val="normaltextrun"/>
                <w:rFonts w:ascii="Arial Narrow" w:hAnsi="Arial Narrow" w:cs="Calibri Light"/>
                <w:color w:val="000000"/>
              </w:rPr>
              <w:t xml:space="preserve"> </w:t>
            </w:r>
            <w:r w:rsidRPr="006333B9">
              <w:rPr>
                <w:rStyle w:val="normaltextrun"/>
                <w:rFonts w:ascii="Arial Narrow" w:hAnsi="Arial Narrow" w:cs="Calibri Light"/>
              </w:rPr>
              <w:t>definen</w:t>
            </w:r>
            <w:r w:rsidR="006333B9" w:rsidRPr="006333B9">
              <w:rPr>
                <w:rStyle w:val="normaltextrun"/>
                <w:rFonts w:ascii="Arial Narrow" w:hAnsi="Arial Narrow" w:cs="Calibri Light"/>
              </w:rPr>
              <w:t xml:space="preserve"> c</w:t>
            </w:r>
            <w:r w:rsidRPr="006333B9">
              <w:rPr>
                <w:rStyle w:val="normaltextrun"/>
                <w:rFonts w:ascii="Arial Narrow" w:hAnsi="Arial Narrow" w:cs="Calibri Light"/>
              </w:rPr>
              <w:t>ronológicamente</w:t>
            </w:r>
            <w:r w:rsidRPr="006333B9">
              <w:rPr>
                <w:rStyle w:val="normaltextrun"/>
                <w:rFonts w:ascii="Arial Narrow" w:hAnsi="Arial Narrow" w:cs="Calibri Light"/>
                <w:color w:val="000000"/>
              </w:rPr>
              <w:t> el siglo XIX musical en Colombia? (1810-1910)</w:t>
            </w:r>
            <w:r w:rsidRPr="006333B9">
              <w:rPr>
                <w:rStyle w:val="normaltextrun"/>
                <w:rFonts w:ascii="Arial Narrow" w:hAnsi="Arial Narrow"/>
                <w:color w:val="000000"/>
              </w:rPr>
              <w:t> </w:t>
            </w:r>
          </w:p>
          <w:p w14:paraId="35E85824" w14:textId="733E9D30" w:rsidR="005A7FF7" w:rsidRPr="00F4709C" w:rsidRDefault="005A7FF7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 es la articulación entre romanticismo y costumbrismo al referirse a la música colombiana del siglo </w:t>
            </w:r>
            <w:r w:rsidRPr="00F4709C">
              <w:rPr>
                <w:rStyle w:val="normaltextrun"/>
                <w:rFonts w:ascii="Arial Narrow" w:hAnsi="Arial Narrow" w:cs="Segoe UI"/>
                <w:color w:val="000000"/>
              </w:rPr>
              <w:t>XIX? </w:t>
            </w:r>
          </w:p>
          <w:p w14:paraId="2D8A2F5A" w14:textId="77777777" w:rsidR="005A7FF7" w:rsidRPr="00F4709C" w:rsidRDefault="005A7FF7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¿Cuáles son los mecanismos que permiten pasar de imitar, en términos musicales, lo europeo a integrar lo colombiano?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2947541B" w14:textId="77777777" w:rsidR="005A7FF7" w:rsidRPr="00F4709C" w:rsidRDefault="005A7FF7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¿Cómo se integra lo popular a la música escrita?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6152ADED" w14:textId="2F5D41B6" w:rsidR="008C1672" w:rsidRPr="00F4709C" w:rsidRDefault="005A7FF7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 es el papel de las instituciones de enseñanza musical en ese proceso?</w:t>
            </w:r>
          </w:p>
        </w:tc>
      </w:tr>
      <w:tr w:rsidR="008C1672" w:rsidRPr="00D2580B" w14:paraId="5F6C1C5C" w14:textId="77777777" w:rsidTr="67E3B6FF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CAD52" w14:textId="79D936A8" w:rsidR="001B6E9D" w:rsidRPr="001B6E9D" w:rsidRDefault="001B6E9D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EP1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.2</w:t>
            </w: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  <w:p w14:paraId="342CF914" w14:textId="27D88599" w:rsidR="008C1672" w:rsidRPr="001B6E9D" w:rsidRDefault="005A7FF7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Al finalizar esta semana comprendo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contextualspellingandgrammarerror"/>
                <w:color w:val="000000"/>
                <w:shd w:val="clear" w:color="auto" w:fill="FFFFFF"/>
                <w:lang w:val="es-CO"/>
              </w:rPr>
              <w:t>que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 xml:space="preserve">durante el siglo XIX, las personas tenían contacto con diferentes músicas, según su profesión, 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lastRenderedPageBreak/>
              <w:t>género y origen social.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  <w:r w:rsidR="008C1672"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0B21" w14:textId="4B91BC98" w:rsidR="0056195C" w:rsidRPr="006333B9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lastRenderedPageBreak/>
              <w:t>Noción sobre las festividades públicas (civiles, religiosas) durante el siglo XIX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30FCF48D" w14:textId="77777777" w:rsidR="006333B9" w:rsidRPr="00F4709C" w:rsidRDefault="006333B9" w:rsidP="006333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</w:p>
          <w:p w14:paraId="5A51B361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lastRenderedPageBreak/>
              <w:t>Nociones sobre la vida social de la élite durante el siglo XIX.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3C5C4C9B" w14:textId="781F74FA" w:rsidR="008C1672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Historia de los teatros en Bogotá durante el siglo XIX (desde la fundación en 1793 del Coliseo Ramírez hasta los varios teatros que aparecen a principios del siglo XX)</w:t>
            </w:r>
            <w:r w:rsidRPr="00F4709C">
              <w:rPr>
                <w:rStyle w:val="normaltextrun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B611" w14:textId="2A449DA4" w:rsidR="008C1672" w:rsidRPr="0056195C" w:rsidRDefault="0056195C" w:rsidP="000C0E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n-US"/>
              </w:rPr>
            </w:pPr>
            <w:r w:rsidRPr="0056195C">
              <w:rPr>
                <w:rStyle w:val="normaltextrun"/>
                <w:color w:val="000000"/>
                <w:shd w:val="clear" w:color="auto" w:fill="FFFFFF"/>
                <w:lang w:val="es-CO"/>
              </w:rPr>
              <w:lastRenderedPageBreak/>
              <w:t>La música sólo se daba en los salones o tertulias.</w:t>
            </w:r>
            <w:r w:rsidRPr="0056195C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8943" w14:textId="25605706" w:rsidR="008C1672" w:rsidRPr="0056195C" w:rsidRDefault="0056195C" w:rsidP="000C0E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n-US"/>
              </w:rPr>
            </w:pPr>
            <w:r w:rsidRPr="0056195C">
              <w:rPr>
                <w:rStyle w:val="normaltextrun"/>
                <w:color w:val="000000"/>
                <w:lang w:val="es-CO"/>
              </w:rPr>
              <w:t>Soy capaz de explicar cómo el contexto social influye en las prácticas musicales del siglo XIX.</w:t>
            </w:r>
            <w:r w:rsidRPr="0056195C">
              <w:rPr>
                <w:rStyle w:val="eop"/>
                <w:color w:val="000000"/>
                <w:lang w:val="es-CO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CE706" w14:textId="3A4316BE" w:rsidR="0056195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 w:rsidRPr="006333B9">
              <w:rPr>
                <w:rStyle w:val="normaltextrun"/>
                <w:rFonts w:ascii="Arial Narrow" w:hAnsi="Arial Narrow" w:cs="Segoe UI"/>
                <w:color w:val="000000"/>
              </w:rPr>
              <w:t>¿Qué es un género musical? ¿Cuál es la relación entre género y función social de la </w:t>
            </w:r>
            <w:r w:rsidRPr="006333B9">
              <w:rPr>
                <w:rStyle w:val="normaltextrun"/>
                <w:rFonts w:ascii="Arial Narrow" w:hAnsi="Arial Narrow"/>
              </w:rPr>
              <w:t>música?</w:t>
            </w:r>
            <w:r w:rsidR="006333B9">
              <w:rPr>
                <w:rStyle w:val="normaltextrun"/>
                <w:rFonts w:ascii="Arial Narrow" w:hAnsi="Arial Narrow"/>
              </w:rPr>
              <w:t xml:space="preserve"> </w:t>
            </w:r>
            <w:r w:rsidRPr="006333B9">
              <w:rPr>
                <w:rStyle w:val="normaltextrun"/>
                <w:rFonts w:ascii="Arial Narrow" w:hAnsi="Arial Narrow"/>
              </w:rPr>
              <w:t>¿</w:t>
            </w:r>
            <w:r w:rsidRPr="006333B9">
              <w:rPr>
                <w:rStyle w:val="normaltextrun"/>
                <w:rFonts w:ascii="Arial Narrow" w:hAnsi="Arial Narrow" w:cs="Segoe UI"/>
                <w:color w:val="000000"/>
              </w:rPr>
              <w:t>En qué contextos y lugares se presentaban los diferentes géneros?</w:t>
            </w:r>
            <w:r w:rsidRPr="006333B9">
              <w:rPr>
                <w:rStyle w:val="normaltextrun"/>
                <w:rFonts w:ascii="Arial Narrow" w:hAnsi="Arial Narrow"/>
                <w:color w:val="000000"/>
              </w:rPr>
              <w:t> </w:t>
            </w:r>
          </w:p>
          <w:p w14:paraId="3ACC52D0" w14:textId="77777777" w:rsidR="006333B9" w:rsidRPr="006333B9" w:rsidRDefault="006333B9" w:rsidP="006333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</w:p>
          <w:p w14:paraId="19A78B54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lastRenderedPageBreak/>
              <w:t>¿Cómo y dónde se desarrollaban los bailes, las retretas militares, las funciones en el teatro o la música religiosa?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034A9614" w14:textId="1D3B7A78" w:rsidR="008C1672" w:rsidRPr="00F4709C" w:rsidRDefault="0056195C" w:rsidP="00017740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¿Qué se puede saber sobre las prácticas musicales en ámbitos populares?</w:t>
            </w:r>
            <w:r w:rsidRPr="00F4709C">
              <w:rPr>
                <w:rStyle w:val="normaltextrun"/>
                <w:color w:val="000000"/>
              </w:rPr>
              <w:t> </w:t>
            </w:r>
          </w:p>
        </w:tc>
      </w:tr>
      <w:tr w:rsidR="008C1672" w:rsidRPr="00D2580B" w14:paraId="4C8A4712" w14:textId="77777777" w:rsidTr="67E3B6FF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69806" w14:textId="20D3F8C3" w:rsidR="001B6E9D" w:rsidRDefault="001B6E9D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lastRenderedPageBreak/>
              <w:t>EP1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.3</w:t>
            </w:r>
          </w:p>
          <w:p w14:paraId="02793FB8" w14:textId="008E1AA3" w:rsidR="001B6E9D" w:rsidRPr="001B6E9D" w:rsidRDefault="001B6E9D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452E4A">
              <w:rPr>
                <w:rStyle w:val="normaltextrun"/>
                <w:color w:val="000000"/>
                <w:shd w:val="clear" w:color="auto" w:fill="FFFFFF"/>
                <w:lang w:val="es-CO"/>
              </w:rPr>
              <w:t>La música en Colombia durante el siglo XIX pone en escena diferentes personajes como lo son los compositores, los intérpretes, los críticos y los pedagogos, en un contexto social que se caracteriza por su compartimentación.</w:t>
            </w:r>
            <w:r w:rsidRPr="00452E4A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452E4A">
              <w:rPr>
                <w:rStyle w:val="eop"/>
                <w:color w:val="000000"/>
                <w:shd w:val="clear" w:color="auto" w:fill="FFFFFF"/>
                <w:lang w:val="es-CO"/>
              </w:rPr>
              <w:t> </w:t>
            </w:r>
          </w:p>
          <w:p w14:paraId="6FFA90FD" w14:textId="6199B508" w:rsidR="00486778" w:rsidRPr="001B6E9D" w:rsidRDefault="001B6E9D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Al finalizar esta semana comprendo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contextualspellingandgrammarerror"/>
                <w:color w:val="000000"/>
                <w:shd w:val="clear" w:color="auto" w:fill="FFFFFF"/>
                <w:lang w:val="es-CO"/>
              </w:rPr>
              <w:t>que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 xml:space="preserve">durante el siglo XIX, la producción musical en Colombia y su 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lastRenderedPageBreak/>
              <w:t>consumo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estuvieron asociados a contextos espec</w:t>
            </w:r>
            <w:r w:rsidRPr="00A0101D">
              <w:rPr>
                <w:rStyle w:val="normaltextrun"/>
                <w:rFonts w:cs="Arial Narrow"/>
                <w:color w:val="000000"/>
                <w:shd w:val="clear" w:color="auto" w:fill="FFFFFF"/>
                <w:lang w:val="es-CO"/>
              </w:rPr>
              <w:t>í</w:t>
            </w:r>
            <w:r w:rsidRPr="00A0101D">
              <w:rPr>
                <w:rStyle w:val="normaltextrun"/>
                <w:color w:val="000000"/>
                <w:shd w:val="clear" w:color="auto" w:fill="FFFFFF"/>
                <w:lang w:val="es-CO"/>
              </w:rPr>
              <w:t>ficos de entretenimiento o de celebraciones</w:t>
            </w:r>
            <w:r w:rsidRPr="00A0101D">
              <w:rPr>
                <w:rStyle w:val="normaltextrun"/>
                <w:rFonts w:ascii="Arial" w:hAnsi="Arial" w:cs="Arial"/>
                <w:color w:val="263238"/>
                <w:shd w:val="clear" w:color="auto" w:fill="FFFFFF"/>
                <w:lang w:val="es-CO"/>
              </w:rPr>
              <w:t>.</w:t>
            </w:r>
            <w:r w:rsidRPr="00A0101D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CO"/>
              </w:rPr>
              <w:t> </w:t>
            </w:r>
          </w:p>
          <w:p w14:paraId="5188DDE0" w14:textId="6635DB2F" w:rsidR="008C1672" w:rsidRPr="001B6E9D" w:rsidRDefault="008C1672" w:rsidP="000C0E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</w:pPr>
            <w:r w:rsidRPr="001B6E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DFBB" w14:textId="18F71C3E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lastRenderedPageBreak/>
              <w:t>Nociones sobre la música de salón en Europa y la ópera italiana romántica.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0AB4ACCD" w14:textId="643EAA44" w:rsidR="008C1672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F4709C">
              <w:rPr>
                <w:rStyle w:val="normaltextrun"/>
                <w:rFonts w:ascii="Arial Narrow" w:hAnsi="Arial Narrow" w:cs="Segoe UI"/>
                <w:color w:val="000000"/>
              </w:rPr>
              <w:t>Los ejes de comunicación en Colombia durante el siglo XIX (dentro de Colombia y con el mundo)</w:t>
            </w:r>
            <w:r w:rsidRPr="00F4709C">
              <w:rPr>
                <w:rStyle w:val="normaltextrun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E074" w14:textId="69BE2E9A" w:rsidR="008C1672" w:rsidRPr="00F4709C" w:rsidRDefault="0056195C" w:rsidP="00F4709C">
            <w:pPr>
              <w:rPr>
                <w:rStyle w:val="normaltextrun"/>
                <w:rFonts w:cs="Segoe UI"/>
                <w:lang w:val="es-CO" w:eastAsia="es-CO"/>
              </w:rPr>
            </w:pPr>
            <w:r w:rsidRPr="00F4709C">
              <w:rPr>
                <w:rStyle w:val="normaltextrun"/>
                <w:rFonts w:eastAsia="Times New Roman" w:cs="Segoe UI"/>
                <w:color w:val="000000"/>
                <w:lang w:val="es-CO" w:eastAsia="es-CO"/>
              </w:rPr>
              <w:t>En el siglo XIX existían músicos profesionales.</w:t>
            </w:r>
            <w:r w:rsidRPr="00F4709C">
              <w:rPr>
                <w:rStyle w:val="normaltextrun"/>
                <w:rFonts w:eastAsia="Times New Roman" w:cs="Segoe UI"/>
                <w:lang w:val="es-CO" w:eastAsia="es-CO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B3E3" w14:textId="5B17EFCA" w:rsidR="008C1672" w:rsidRPr="00F4709C" w:rsidRDefault="0056195C" w:rsidP="00F4709C">
            <w:pPr>
              <w:rPr>
                <w:rStyle w:val="normaltextrun"/>
                <w:rFonts w:cs="Segoe UI"/>
                <w:lang w:val="es-CO" w:eastAsia="es-CO"/>
              </w:rPr>
            </w:pPr>
            <w:r w:rsidRPr="00F4709C">
              <w:rPr>
                <w:rStyle w:val="normaltextrun"/>
                <w:rFonts w:eastAsia="Times New Roman" w:cs="Segoe UI"/>
                <w:color w:val="000000"/>
                <w:lang w:val="es-CO" w:eastAsia="es-CO"/>
              </w:rPr>
              <w:t>Investigar sobre la vida de los compositores colombianos, los eventos musicales y socioculturales y sintetizar los resultados por medio de una línea de tiempo.</w:t>
            </w:r>
            <w:r w:rsidRPr="00F4709C">
              <w:rPr>
                <w:rStyle w:val="normaltextrun"/>
                <w:rFonts w:eastAsia="Times New Roman" w:cs="Segoe UI"/>
                <w:lang w:val="es-CO" w:eastAsia="es-CO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D9F9D" w14:textId="53877C0C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 era la posición de los músicos en la sociedad?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44E11DBB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 es la relación entre género (hombres/mujeres) y la práctica musical?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0B3E64A8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¿Cuáles eran los instrumentos y ensambles que se podían escuchar en Bogotá en el siglo XIX?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73A82CB6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>¿Cuál fue el impacto de las compañías italianas de ópera en el repertorio nacional?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15C83E5A" w14:textId="77777777" w:rsidR="0056195C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</w:rPr>
              <w:t xml:space="preserve">¿Cuál fue el aporte de los músicos europeos y nacionales a la música </w:t>
            </w:r>
            <w:r>
              <w:rPr>
                <w:rStyle w:val="normaltextrun"/>
                <w:rFonts w:ascii="Arial Narrow" w:hAnsi="Arial Narrow" w:cs="Segoe UI"/>
                <w:color w:val="000000"/>
              </w:rPr>
              <w:lastRenderedPageBreak/>
              <w:t>colombiana del siglo XIX?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749E01E9" w14:textId="77777777" w:rsidR="00DF3E18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</w:rPr>
            </w:pPr>
            <w:r w:rsidRPr="00DF3E18">
              <w:rPr>
                <w:rStyle w:val="normaltextrun"/>
                <w:rFonts w:ascii="Arial Narrow" w:hAnsi="Arial Narrow" w:cs="Segoe UI"/>
                <w:color w:val="000000"/>
              </w:rPr>
              <w:t>¿Cuáles eran los medios de difusión de la música y los escritos sobre la música (manuscritos, ediciones, prensa…)</w:t>
            </w:r>
            <w:r w:rsidRPr="00F4709C">
              <w:rPr>
                <w:rStyle w:val="normaltextrun"/>
                <w:color w:val="000000"/>
              </w:rPr>
              <w:t> </w:t>
            </w:r>
          </w:p>
          <w:p w14:paraId="0F51B49B" w14:textId="452B8F37" w:rsidR="008C1672" w:rsidRPr="00F4709C" w:rsidRDefault="0056195C" w:rsidP="00F4709C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</w:rPr>
            </w:pPr>
            <w:r w:rsidRPr="00F4709C">
              <w:rPr>
                <w:rStyle w:val="normaltextrun"/>
                <w:rFonts w:ascii="Arial Narrow" w:hAnsi="Arial Narrow" w:cs="Segoe UI"/>
                <w:color w:val="000000"/>
              </w:rPr>
              <w:t>¿Cuáles fueron las instituciones relacionadas con la práctica y aprendizaje de la música?</w:t>
            </w:r>
            <w:r w:rsidRPr="00F4709C">
              <w:rPr>
                <w:rStyle w:val="normaltextrun"/>
                <w:color w:val="000000"/>
              </w:rPr>
              <w:t> </w:t>
            </w:r>
          </w:p>
        </w:tc>
      </w:tr>
    </w:tbl>
    <w:p w14:paraId="4F3233D8" w14:textId="6DE7D141" w:rsidR="00486778" w:rsidRPr="00486778" w:rsidRDefault="00486778" w:rsidP="008C1672">
      <w:pPr>
        <w:rPr>
          <w:sz w:val="22"/>
          <w:lang w:val="es-ES"/>
        </w:rPr>
        <w:sectPr w:rsidR="00486778" w:rsidRPr="00486778" w:rsidSect="006333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E28D160" w14:textId="7D033FCC" w:rsidR="00486778" w:rsidRDefault="006333B9" w:rsidP="006333B9">
      <w:pPr>
        <w:pStyle w:val="Ttulo1"/>
        <w:spacing w:before="0"/>
        <w:ind w:left="1418" w:hanging="1418"/>
        <w:rPr>
          <w:lang w:val="es-CO"/>
        </w:rPr>
      </w:pPr>
      <w:r>
        <w:rPr>
          <w:lang w:val="es-ES"/>
        </w:rPr>
        <w:lastRenderedPageBreak/>
        <w:t>[Etapa U2]</w:t>
      </w:r>
      <w:r>
        <w:rPr>
          <w:lang w:val="es-ES"/>
        </w:rPr>
        <w:tab/>
      </w:r>
      <w:r w:rsidR="00586F44" w:rsidRPr="00586F44">
        <w:rPr>
          <w:lang w:val="es-ES"/>
        </w:rPr>
        <w:t>Diseño de unidad de enseñanza - e</w:t>
      </w:r>
      <w:r w:rsidR="00486778">
        <w:rPr>
          <w:lang w:val="es-ES"/>
        </w:rPr>
        <w:t xml:space="preserve">tapa 2: </w:t>
      </w:r>
      <w:r w:rsidR="00486778">
        <w:rPr>
          <w:lang w:val="es-ES"/>
        </w:rPr>
        <w:tab/>
      </w:r>
      <w:r w:rsidR="00486778">
        <w:rPr>
          <w:lang w:val="es-CO"/>
        </w:rPr>
        <w:t>¿Cómo saber que se aprende lo deseado para la GI-</w:t>
      </w:r>
      <w:r w:rsidR="00017740">
        <w:rPr>
          <w:lang w:val="es-CO"/>
        </w:rPr>
        <w:t>1</w:t>
      </w:r>
      <w:r w:rsidR="00486778">
        <w:rPr>
          <w:lang w:val="es-CO"/>
        </w:rPr>
        <w:t xml:space="preserve"> y sus EP?</w:t>
      </w:r>
    </w:p>
    <w:p w14:paraId="67CBF4A3" w14:textId="77777777" w:rsidR="008C1672" w:rsidRDefault="008C1672" w:rsidP="67E3B6FF">
      <w:pPr>
        <w:rPr>
          <w:lang w:val="es-CO"/>
        </w:rPr>
      </w:pPr>
    </w:p>
    <w:p w14:paraId="591C1E8E" w14:textId="659D2FDB" w:rsidR="67E3B6FF" w:rsidRPr="00DF602D" w:rsidRDefault="67E3B6FF" w:rsidP="67E3B6FF">
      <w:pPr>
        <w:rPr>
          <w:lang w:val="uz-Cyrl-UZ"/>
        </w:rPr>
      </w:pPr>
      <w:r w:rsidRPr="00DF602D">
        <w:rPr>
          <w:lang w:val="uz-Cyrl-UZ"/>
        </w:rPr>
        <w:t xml:space="preserve">Se diseñaron momentos y estrategias de evaluación asociadas con las actividades de aprendizaje y se definieron criterios de valoración que fueron explícitos para los estudiantes a través de matrices de evaluación.   </w:t>
      </w:r>
    </w:p>
    <w:p w14:paraId="0C23F5F7" w14:textId="77777777" w:rsidR="00634393" w:rsidRDefault="00634393" w:rsidP="00486778">
      <w:pPr>
        <w:pStyle w:val="Descripcin"/>
        <w:spacing w:after="0"/>
        <w:rPr>
          <w:lang w:val="es-CO"/>
        </w:rPr>
      </w:pPr>
    </w:p>
    <w:tbl>
      <w:tblPr>
        <w:tblW w:w="11440" w:type="dxa"/>
        <w:tblCellSpacing w:w="0" w:type="dxa"/>
        <w:tblInd w:w="720" w:type="dxa"/>
        <w:tblBorders>
          <w:top w:val="single" w:sz="6" w:space="0" w:color="424242"/>
          <w:left w:val="single" w:sz="6" w:space="0" w:color="424242"/>
          <w:bottom w:val="single" w:sz="6" w:space="0" w:color="424242"/>
          <w:right w:val="single" w:sz="6" w:space="0" w:color="424242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720"/>
        <w:gridCol w:w="2860"/>
        <w:gridCol w:w="2860"/>
      </w:tblGrid>
      <w:tr w:rsidR="00910044" w:rsidRPr="00910044" w14:paraId="62DF4D1D" w14:textId="77777777" w:rsidTr="00910044">
        <w:trPr>
          <w:trHeight w:val="338"/>
          <w:tblHeader/>
          <w:tblCellSpacing w:w="0" w:type="dxa"/>
        </w:trPr>
        <w:tc>
          <w:tcPr>
            <w:tcW w:w="2500" w:type="pct"/>
            <w:shd w:val="clear" w:color="auto" w:fill="FBC02D"/>
            <w:vAlign w:val="center"/>
            <w:hideMark/>
          </w:tcPr>
          <w:p w14:paraId="01A127E9" w14:textId="77777777" w:rsidR="00910044" w:rsidRPr="00910044" w:rsidRDefault="00910044" w:rsidP="00910044">
            <w:pPr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Módulo 1    35%</w:t>
            </w:r>
          </w:p>
        </w:tc>
        <w:tc>
          <w:tcPr>
            <w:tcW w:w="1250" w:type="pct"/>
            <w:shd w:val="clear" w:color="auto" w:fill="FBC02D"/>
            <w:vAlign w:val="center"/>
            <w:hideMark/>
          </w:tcPr>
          <w:p w14:paraId="1E84C90C" w14:textId="77777777" w:rsidR="00910044" w:rsidRPr="00910044" w:rsidRDefault="00910044" w:rsidP="00910044">
            <w:pPr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Actividad</w:t>
            </w:r>
          </w:p>
        </w:tc>
        <w:tc>
          <w:tcPr>
            <w:tcW w:w="1250" w:type="pct"/>
            <w:shd w:val="clear" w:color="auto" w:fill="FBC02D"/>
            <w:vAlign w:val="center"/>
            <w:hideMark/>
          </w:tcPr>
          <w:p w14:paraId="0F6CFAD4" w14:textId="77777777" w:rsidR="00910044" w:rsidRPr="00910044" w:rsidRDefault="00910044" w:rsidP="00910044">
            <w:pPr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Porcentaje</w:t>
            </w:r>
          </w:p>
        </w:tc>
      </w:tr>
      <w:tr w:rsidR="00910044" w:rsidRPr="00910044" w14:paraId="666A7952" w14:textId="77777777" w:rsidTr="00910044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2B9E30EC" w14:textId="40093D95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EP1: Aspectos generales sobre los repertorios musicales en Colombia en el siglo XIX</w:t>
            </w:r>
          </w:p>
        </w:tc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6EC789F9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Síntesis sobre las prácticas musicales</w:t>
            </w:r>
          </w:p>
        </w:tc>
        <w:tc>
          <w:tcPr>
            <w:tcW w:w="0" w:type="auto"/>
            <w:tcBorders>
              <w:bottom w:val="single" w:sz="6" w:space="0" w:color="90A4AE"/>
            </w:tcBorders>
            <w:shd w:val="clear" w:color="auto" w:fill="FFFFFF"/>
            <w:vAlign w:val="center"/>
            <w:hideMark/>
          </w:tcPr>
          <w:p w14:paraId="7656438D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10</w:t>
            </w:r>
          </w:p>
        </w:tc>
      </w:tr>
      <w:tr w:rsidR="00910044" w:rsidRPr="00910044" w14:paraId="50E2581B" w14:textId="77777777" w:rsidTr="00910044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1DBD3DCC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7FF86A03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Infografía sobre la música colombiana</w:t>
            </w:r>
          </w:p>
        </w:tc>
        <w:tc>
          <w:tcPr>
            <w:tcW w:w="0" w:type="auto"/>
            <w:tcBorders>
              <w:bottom w:val="single" w:sz="6" w:space="0" w:color="90A4AE"/>
            </w:tcBorders>
            <w:shd w:val="clear" w:color="auto" w:fill="FFFFFF"/>
            <w:vAlign w:val="center"/>
            <w:hideMark/>
          </w:tcPr>
          <w:p w14:paraId="62AAE364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25</w:t>
            </w:r>
          </w:p>
        </w:tc>
      </w:tr>
      <w:tr w:rsidR="00910044" w:rsidRPr="00910044" w14:paraId="18152228" w14:textId="77777777" w:rsidTr="00910044">
        <w:trPr>
          <w:tblCellSpacing w:w="0" w:type="dxa"/>
        </w:trPr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ECEFF1"/>
            <w:vAlign w:val="center"/>
            <w:hideMark/>
          </w:tcPr>
          <w:p w14:paraId="165AE96A" w14:textId="3D8C4C2E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EP2: La música en la vida cotidiana</w:t>
            </w:r>
          </w:p>
        </w:tc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ECEFF1"/>
            <w:vAlign w:val="center"/>
            <w:hideMark/>
          </w:tcPr>
          <w:p w14:paraId="38B946AC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Agenda de un melómano</w:t>
            </w:r>
          </w:p>
        </w:tc>
        <w:tc>
          <w:tcPr>
            <w:tcW w:w="0" w:type="auto"/>
            <w:tcBorders>
              <w:bottom w:val="single" w:sz="6" w:space="0" w:color="90A4AE"/>
            </w:tcBorders>
            <w:shd w:val="clear" w:color="auto" w:fill="ECEFF1"/>
            <w:vAlign w:val="center"/>
            <w:hideMark/>
          </w:tcPr>
          <w:p w14:paraId="40BC6FAD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30</w:t>
            </w:r>
          </w:p>
        </w:tc>
      </w:tr>
      <w:tr w:rsidR="00910044" w:rsidRPr="00910044" w14:paraId="1F125927" w14:textId="77777777" w:rsidTr="00910044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7DCC17FE" w14:textId="4330F612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b/>
                <w:bCs/>
                <w:iCs/>
                <w:color w:val="44546A" w:themeColor="text2"/>
                <w:sz w:val="18"/>
                <w:szCs w:val="18"/>
                <w:lang w:val="es-CO"/>
              </w:rPr>
              <w:t>EP3: Los compositores y los intérpretes</w:t>
            </w:r>
          </w:p>
        </w:tc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19C165B5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Línea de tiempo sobre la música en Colombia en el siglo XIX</w:t>
            </w:r>
          </w:p>
        </w:tc>
        <w:tc>
          <w:tcPr>
            <w:tcW w:w="0" w:type="auto"/>
            <w:tcBorders>
              <w:bottom w:val="single" w:sz="6" w:space="0" w:color="90A4AE"/>
            </w:tcBorders>
            <w:shd w:val="clear" w:color="auto" w:fill="FFFFFF"/>
            <w:vAlign w:val="center"/>
            <w:hideMark/>
          </w:tcPr>
          <w:p w14:paraId="41E8E7D3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10</w:t>
            </w:r>
          </w:p>
        </w:tc>
      </w:tr>
      <w:tr w:rsidR="00910044" w:rsidRPr="00910044" w14:paraId="38F687A4" w14:textId="77777777" w:rsidTr="00910044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1DF2FC4B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</w:p>
        </w:tc>
        <w:tc>
          <w:tcPr>
            <w:tcW w:w="0" w:type="auto"/>
            <w:tcBorders>
              <w:bottom w:val="single" w:sz="6" w:space="0" w:color="90A4AE"/>
              <w:right w:val="single" w:sz="6" w:space="0" w:color="90A4AE"/>
            </w:tcBorders>
            <w:shd w:val="clear" w:color="auto" w:fill="FFFFFF"/>
            <w:vAlign w:val="center"/>
            <w:hideMark/>
          </w:tcPr>
          <w:p w14:paraId="0DC59BE5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Reflexión sobre los aprendizajes del módulo 1</w:t>
            </w:r>
          </w:p>
        </w:tc>
        <w:tc>
          <w:tcPr>
            <w:tcW w:w="0" w:type="auto"/>
            <w:tcBorders>
              <w:bottom w:val="single" w:sz="6" w:space="0" w:color="90A4AE"/>
            </w:tcBorders>
            <w:shd w:val="clear" w:color="auto" w:fill="FFFFFF"/>
            <w:vAlign w:val="center"/>
            <w:hideMark/>
          </w:tcPr>
          <w:p w14:paraId="506B21A5" w14:textId="77777777" w:rsidR="00910044" w:rsidRPr="00910044" w:rsidRDefault="00910044" w:rsidP="00910044">
            <w:pPr>
              <w:rPr>
                <w:iCs/>
                <w:color w:val="44546A" w:themeColor="text2"/>
                <w:sz w:val="18"/>
                <w:szCs w:val="18"/>
                <w:lang w:val="es-CO"/>
              </w:rPr>
            </w:pPr>
            <w:r w:rsidRPr="00910044">
              <w:rPr>
                <w:iCs/>
                <w:color w:val="44546A" w:themeColor="text2"/>
                <w:sz w:val="18"/>
                <w:szCs w:val="18"/>
                <w:lang w:val="es-CO"/>
              </w:rPr>
              <w:t>25</w:t>
            </w:r>
          </w:p>
        </w:tc>
      </w:tr>
    </w:tbl>
    <w:p w14:paraId="485CF039" w14:textId="77777777" w:rsidR="00910044" w:rsidRDefault="00910044" w:rsidP="00586F44">
      <w:pPr>
        <w:pStyle w:val="Ttulo2"/>
        <w:rPr>
          <w:lang w:val="es-ES"/>
        </w:rPr>
      </w:pPr>
    </w:p>
    <w:p w14:paraId="1E006878" w14:textId="77777777" w:rsidR="006333B9" w:rsidRDefault="006333B9">
      <w:pPr>
        <w:spacing w:after="160" w:line="259" w:lineRule="auto"/>
        <w:rPr>
          <w:rFonts w:eastAsiaTheme="majorEastAsia" w:cstheme="majorBidi"/>
          <w:color w:val="2F5496" w:themeColor="accent1" w:themeShade="BF"/>
          <w:sz w:val="32"/>
          <w:szCs w:val="32"/>
          <w:lang w:val="es-ES"/>
        </w:rPr>
      </w:pPr>
      <w:r>
        <w:rPr>
          <w:lang w:val="es-ES"/>
        </w:rPr>
        <w:br w:type="page"/>
      </w:r>
    </w:p>
    <w:p w14:paraId="53289D05" w14:textId="0AC761D2" w:rsidR="00586F44" w:rsidRDefault="006333B9" w:rsidP="006333B9">
      <w:pPr>
        <w:pStyle w:val="Ttulo1"/>
        <w:ind w:left="1418" w:hanging="1418"/>
        <w:rPr>
          <w:lang w:val="es-CO"/>
        </w:rPr>
      </w:pPr>
      <w:r>
        <w:rPr>
          <w:lang w:val="es-ES"/>
        </w:rPr>
        <w:lastRenderedPageBreak/>
        <w:t>[Etapa U3]</w:t>
      </w:r>
      <w:r>
        <w:rPr>
          <w:lang w:val="es-ES"/>
        </w:rPr>
        <w:tab/>
      </w:r>
      <w:r w:rsidR="00586F44" w:rsidRPr="00586F44">
        <w:rPr>
          <w:lang w:val="es-ES"/>
        </w:rPr>
        <w:t xml:space="preserve">Diseño de unidad de enseñanza - </w:t>
      </w:r>
      <w:r w:rsidR="00586F44">
        <w:rPr>
          <w:lang w:val="es-ES"/>
        </w:rPr>
        <w:t xml:space="preserve">etapa 3: </w:t>
      </w:r>
      <w:r w:rsidR="00586F44">
        <w:rPr>
          <w:lang w:val="es-CO"/>
        </w:rPr>
        <w:t>¿</w:t>
      </w:r>
      <w:bookmarkStart w:id="2" w:name="_Hlk3763566"/>
      <w:r w:rsidR="00586F44">
        <w:rPr>
          <w:lang w:val="es-CO"/>
        </w:rPr>
        <w:t>Cómo propiciar que haya aprendizaje de lo propuesto en GI-</w:t>
      </w:r>
      <w:bookmarkEnd w:id="2"/>
      <w:r w:rsidR="005E4F3D">
        <w:rPr>
          <w:lang w:val="es-CO"/>
        </w:rPr>
        <w:t>1</w:t>
      </w:r>
      <w:r w:rsidR="00586F44">
        <w:rPr>
          <w:lang w:val="es-CO"/>
        </w:rPr>
        <w:t>?</w:t>
      </w:r>
    </w:p>
    <w:p w14:paraId="7412C540" w14:textId="77777777" w:rsidR="00586F44" w:rsidRDefault="00586F44" w:rsidP="00586F44">
      <w:pPr>
        <w:rPr>
          <w:lang w:val="es-CO"/>
        </w:rPr>
      </w:pPr>
    </w:p>
    <w:p w14:paraId="301DFAB2" w14:textId="1CA57382" w:rsidR="00EE31C6" w:rsidRDefault="00EE31C6" w:rsidP="00586F44">
      <w:pPr>
        <w:pStyle w:val="Ttulo3"/>
        <w:rPr>
          <w:lang w:val="es-ES"/>
        </w:rPr>
      </w:pPr>
      <w:r>
        <w:rPr>
          <w:lang w:val="es-ES"/>
        </w:rPr>
        <w:t>6.</w:t>
      </w:r>
      <w:r w:rsidR="00586F44">
        <w:rPr>
          <w:lang w:val="es-ES"/>
        </w:rPr>
        <w:t>1</w:t>
      </w:r>
      <w:r>
        <w:rPr>
          <w:lang w:val="es-ES"/>
        </w:rPr>
        <w:t xml:space="preserve"> ¿</w:t>
      </w:r>
      <w:r w:rsidR="00586F44">
        <w:rPr>
          <w:lang w:val="es-ES"/>
        </w:rPr>
        <w:t xml:space="preserve">Con qué recursos aprender </w:t>
      </w:r>
      <w:r w:rsidR="00910044">
        <w:rPr>
          <w:lang w:val="es-ES"/>
        </w:rPr>
        <w:t>lo deseado en cada GI-1</w:t>
      </w:r>
      <w:r>
        <w:rPr>
          <w:lang w:val="es-ES"/>
        </w:rPr>
        <w:t>?</w:t>
      </w:r>
    </w:p>
    <w:p w14:paraId="3901C4D8" w14:textId="77777777" w:rsidR="00EE31C6" w:rsidRDefault="00EE31C6" w:rsidP="00EE31C6">
      <w:pPr>
        <w:rPr>
          <w:lang w:val="es-ES"/>
        </w:rPr>
      </w:pPr>
    </w:p>
    <w:p w14:paraId="184C862D" w14:textId="678E2936" w:rsidR="00303A21" w:rsidRPr="00A03C84" w:rsidRDefault="00303A21" w:rsidP="00EE31C6">
      <w:pPr>
        <w:rPr>
          <w:lang w:val="es-ES"/>
        </w:rPr>
      </w:pPr>
      <w:r>
        <w:rPr>
          <w:lang w:val="es-ES"/>
        </w:rPr>
        <w:t>Ejemplo de recursos usados en la GI-</w:t>
      </w:r>
      <w:r w:rsidR="00176163">
        <w:rPr>
          <w:lang w:val="es-ES"/>
        </w:rPr>
        <w:t>1</w:t>
      </w:r>
    </w:p>
    <w:tbl>
      <w:tblPr>
        <w:tblW w:w="12299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842"/>
        <w:gridCol w:w="1134"/>
        <w:gridCol w:w="1985"/>
      </w:tblGrid>
      <w:tr w:rsidR="00BD350F" w:rsidRPr="00E73453" w14:paraId="112DAFCF" w14:textId="77777777" w:rsidTr="00BD350F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004BB8" w14:textId="77777777" w:rsidR="00420F89" w:rsidRPr="00E73453" w:rsidRDefault="00420F89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Tipo de recurso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5A53E" w14:textId="77777777" w:rsidR="00420F89" w:rsidRPr="00E73453" w:rsidRDefault="00420F89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 xml:space="preserve">Identificación / </w:t>
            </w:r>
            <w:r w:rsidRPr="00E73453">
              <w:rPr>
                <w:rFonts w:ascii="Calibri" w:eastAsia="Times New Roman" w:hAnsi="Calibri" w:cs="Calibri"/>
                <w:b/>
                <w:bCs/>
              </w:rPr>
              <w:br/>
              <w:t xml:space="preserve">nombre del recurso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51F9AD" w14:textId="7A072376" w:rsidR="00420F89" w:rsidRPr="00E73453" w:rsidRDefault="00420F89" w:rsidP="00586F44">
            <w:pPr>
              <w:jc w:val="center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73453">
              <w:rPr>
                <w:rFonts w:ascii="Calibri" w:eastAsia="Times New Roman" w:hAnsi="Calibri" w:cs="Calibri"/>
                <w:b/>
                <w:bCs/>
                <w:lang w:val="es-ES"/>
              </w:rPr>
              <w:t>Para uso en (GI</w:t>
            </w:r>
            <w:r>
              <w:rPr>
                <w:rFonts w:ascii="Calibri" w:eastAsia="Times New Roman" w:hAnsi="Calibri" w:cs="Calibri"/>
                <w:b/>
                <w:bCs/>
                <w:lang w:val="es-ES"/>
              </w:rPr>
              <w:t>1</w:t>
            </w:r>
            <w:r w:rsidRPr="00E73453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 EP</w:t>
            </w:r>
            <w:r>
              <w:rPr>
                <w:rFonts w:ascii="Calibri" w:eastAsia="Times New Roman" w:hAnsi="Calibri" w:cs="Calibri"/>
                <w:b/>
                <w:bCs/>
                <w:lang w:val="es-ES"/>
              </w:rPr>
              <w:t>1</w:t>
            </w:r>
            <w:r w:rsidRPr="00E73453">
              <w:rPr>
                <w:rFonts w:ascii="Calibri" w:eastAsia="Times New Roman" w:hAnsi="Calibri" w:cs="Calibri"/>
                <w:b/>
                <w:bCs/>
                <w:lang w:val="es-E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E45C94" w14:textId="77777777" w:rsidR="00420F89" w:rsidRPr="00E73453" w:rsidRDefault="00420F89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Acceso abierto (S/N)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C087FC" w14:textId="77777777" w:rsidR="00420F89" w:rsidRPr="00E73453" w:rsidRDefault="00420F89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Ajuste o complemento requerido</w:t>
            </w:r>
            <w:bookmarkStart w:id="3" w:name="_GoBack"/>
            <w:bookmarkEnd w:id="3"/>
          </w:p>
        </w:tc>
      </w:tr>
      <w:tr w:rsidR="00BD350F" w:rsidRPr="00E73453" w14:paraId="6D3569E9" w14:textId="77777777" w:rsidTr="00FD6645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42D6" w14:textId="50076268" w:rsidR="00420F89" w:rsidRPr="00E73453" w:rsidRDefault="00420F89" w:rsidP="00FD6645">
            <w:pPr>
              <w:rPr>
                <w:rFonts w:ascii="Calibri" w:eastAsia="Times New Roman" w:hAnsi="Calibri" w:cs="Calibri"/>
              </w:rPr>
            </w:pPr>
            <w:r w:rsidRPr="00E73453">
              <w:rPr>
                <w:rFonts w:ascii="Calibri" w:eastAsia="Times New Roman" w:hAnsi="Calibri" w:cs="Calibri"/>
              </w:rPr>
              <w:t> </w:t>
            </w:r>
            <w:r w:rsidR="00BD350F">
              <w:rPr>
                <w:rFonts w:ascii="Calibri" w:eastAsia="Times New Roman" w:hAnsi="Calibri" w:cs="Calibri"/>
              </w:rPr>
              <w:t>L</w:t>
            </w:r>
            <w:r>
              <w:rPr>
                <w:rFonts w:ascii="Calibri" w:eastAsia="Times New Roman" w:hAnsi="Calibri" w:cs="Calibri"/>
              </w:rPr>
              <w:t>ecturas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8EC5" w14:textId="2B8D4B2D" w:rsidR="00420F89" w:rsidRPr="00303A21" w:rsidRDefault="00420F89" w:rsidP="00FD6645">
            <w:pPr>
              <w:pStyle w:val="Prrafodelista"/>
              <w:numPr>
                <w:ilvl w:val="0"/>
                <w:numId w:val="24"/>
              </w:numPr>
              <w:rPr>
                <w:rFonts w:ascii="Calibri" w:eastAsia="Times New Roman" w:hAnsi="Calibri" w:cs="Calibri"/>
              </w:rPr>
            </w:pPr>
            <w:r w:rsidRPr="00DF602D">
              <w:rPr>
                <w:rFonts w:ascii="Calibri" w:eastAsia="Times New Roman" w:hAnsi="Calibri" w:cs="Calibri"/>
                <w:lang w:val="uz-Cyrl-UZ"/>
              </w:rPr>
              <w:t xml:space="preserve">Iriarte, Carolina. “Colombia”,  Diccionario de la música española e hispanoamericana. </w:t>
            </w:r>
            <w:r w:rsidRPr="00303A21">
              <w:rPr>
                <w:rFonts w:ascii="Calibri" w:eastAsia="Times New Roman" w:hAnsi="Calibri" w:cs="Calibri"/>
              </w:rPr>
              <w:t>Emilio Cáceres (</w:t>
            </w:r>
            <w:proofErr w:type="spellStart"/>
            <w:r w:rsidRPr="00303A21">
              <w:rPr>
                <w:rFonts w:ascii="Calibri" w:eastAsia="Times New Roman" w:hAnsi="Calibri" w:cs="Calibri"/>
              </w:rPr>
              <w:t>dir</w:t>
            </w:r>
            <w:proofErr w:type="spellEnd"/>
            <w:r w:rsidRPr="00303A21">
              <w:rPr>
                <w:rFonts w:ascii="Calibri" w:eastAsia="Times New Roman" w:hAnsi="Calibri" w:cs="Calibri"/>
              </w:rPr>
              <w:t>). Madrid: SGAE-ICCMU: 2002.</w:t>
            </w:r>
          </w:p>
          <w:p w14:paraId="3E16CCC8" w14:textId="082DE274" w:rsidR="00420F89" w:rsidRPr="00303A21" w:rsidRDefault="00420F89" w:rsidP="00FD6645">
            <w:pPr>
              <w:pStyle w:val="Prrafodelista"/>
              <w:numPr>
                <w:ilvl w:val="0"/>
                <w:numId w:val="24"/>
              </w:numPr>
              <w:rPr>
                <w:rFonts w:ascii="Calibri" w:eastAsia="Times New Roman" w:hAnsi="Calibri" w:cs="Calibri"/>
              </w:rPr>
            </w:pPr>
            <w:r w:rsidRPr="00DF602D">
              <w:rPr>
                <w:rFonts w:ascii="Calibri" w:eastAsia="Times New Roman" w:hAnsi="Calibri" w:cs="Calibri"/>
                <w:lang w:val="uz-Cyrl-UZ"/>
              </w:rPr>
              <w:t xml:space="preserve">Yépez, Benjamín Yépez. "Santafé de Bogotá", Diccionario de la música española e hispanoamericana. </w:t>
            </w:r>
            <w:r w:rsidRPr="00303A21">
              <w:rPr>
                <w:rFonts w:ascii="Calibri" w:eastAsia="Times New Roman" w:hAnsi="Calibri" w:cs="Calibri"/>
              </w:rPr>
              <w:t>Emilio Cáceres (</w:t>
            </w:r>
            <w:proofErr w:type="spellStart"/>
            <w:r w:rsidRPr="00303A21">
              <w:rPr>
                <w:rFonts w:ascii="Calibri" w:eastAsia="Times New Roman" w:hAnsi="Calibri" w:cs="Calibri"/>
              </w:rPr>
              <w:t>dir</w:t>
            </w:r>
            <w:proofErr w:type="spellEnd"/>
            <w:r w:rsidRPr="00303A21">
              <w:rPr>
                <w:rFonts w:ascii="Calibri" w:eastAsia="Times New Roman" w:hAnsi="Calibri" w:cs="Calibri"/>
              </w:rPr>
              <w:t>). Madrid: SGAE-ICCMU: 2002.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E60E" w14:textId="573C67B0" w:rsidR="00420F89" w:rsidRPr="00E73453" w:rsidRDefault="00BD350F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6C65" w14:textId="4545FF9A" w:rsidR="00420F89" w:rsidRPr="00E73453" w:rsidRDefault="00BD350F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3934" w14:textId="2C5DEFFD" w:rsidR="00420F89" w:rsidRPr="00E73453" w:rsidRDefault="00BD350F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</w:t>
            </w:r>
          </w:p>
        </w:tc>
      </w:tr>
      <w:tr w:rsidR="00BD350F" w:rsidRPr="00E73453" w14:paraId="7C87ABF2" w14:textId="77777777" w:rsidTr="00BD350F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47C" w14:textId="0C455BC7" w:rsidR="00FD6645" w:rsidRPr="003D505D" w:rsidRDefault="00FD6645" w:rsidP="00FD6645">
            <w:pPr>
              <w:rPr>
                <w:rFonts w:ascii="Times New Roman" w:eastAsia="Times New Roman" w:hAnsi="Times New Roman"/>
                <w:sz w:val="22"/>
                <w:szCs w:val="22"/>
                <w:lang w:val="es-CO" w:eastAsia="es-ES"/>
              </w:rPr>
            </w:pPr>
            <w:r w:rsidRPr="003D505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es-CO" w:eastAsia="es-ES"/>
              </w:rPr>
              <w:t>Lecturas, videos y audios sobre prácticas musicales</w:t>
            </w:r>
            <w:r w:rsidRPr="003D505D">
              <w:rPr>
                <w:rFonts w:eastAsia="Times New Roman"/>
                <w:sz w:val="22"/>
                <w:szCs w:val="22"/>
                <w:shd w:val="clear" w:color="auto" w:fill="FFFFFF"/>
                <w:lang w:val="es-CO" w:eastAsia="es-ES"/>
              </w:rPr>
              <w:t> </w:t>
            </w:r>
          </w:p>
          <w:p w14:paraId="352D10AC" w14:textId="77777777" w:rsidR="00420F89" w:rsidRPr="00DF602D" w:rsidRDefault="00420F89" w:rsidP="00586F44">
            <w:pPr>
              <w:rPr>
                <w:rFonts w:ascii="Calibri" w:eastAsia="Times New Roman" w:hAnsi="Calibri" w:cs="Calibri"/>
                <w:lang w:val="uz-Cyrl-U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1E1" w14:textId="77777777" w:rsidR="00420F89" w:rsidRPr="00DF602D" w:rsidRDefault="00420F89" w:rsidP="00FD6645">
            <w:pPr>
              <w:pStyle w:val="Prrafodelista"/>
              <w:numPr>
                <w:ilvl w:val="0"/>
                <w:numId w:val="24"/>
              </w:numPr>
              <w:rPr>
                <w:rFonts w:ascii="Calibri" w:eastAsia="Times New Roman" w:hAnsi="Calibri" w:cs="Calibri"/>
                <w:lang w:val="uz-Cyrl-UZ"/>
              </w:rPr>
            </w:pPr>
            <w:r w:rsidRPr="00DF602D">
              <w:rPr>
                <w:rFonts w:ascii="Calibri" w:eastAsia="Times New Roman" w:hAnsi="Calibri" w:cs="Calibri"/>
                <w:lang w:val="uz-Cyrl-UZ"/>
              </w:rPr>
              <w:t> </w:t>
            </w:r>
            <w:r w:rsidR="00FD6645" w:rsidRPr="00DF602D">
              <w:rPr>
                <w:rFonts w:ascii="Calibri" w:eastAsia="Times New Roman" w:hAnsi="Calibri" w:cs="Calibri"/>
                <w:lang w:val="uz-Cyrl-UZ"/>
              </w:rPr>
              <w:t>Ellie Anne Duque, “La Sociedad Filarmónica o la vida musical en Bogotá hacia mediados del siglo XIX”.</w:t>
            </w:r>
          </w:p>
          <w:p w14:paraId="1CE5683C" w14:textId="7045017A" w:rsidR="00FD6645" w:rsidRPr="00E73453" w:rsidRDefault="00FD6645" w:rsidP="00FD6645">
            <w:pPr>
              <w:pStyle w:val="Prrafodelista"/>
              <w:numPr>
                <w:ilvl w:val="0"/>
                <w:numId w:val="24"/>
              </w:numPr>
              <w:rPr>
                <w:rFonts w:ascii="Calibri" w:eastAsia="Times New Roman" w:hAnsi="Calibri" w:cs="Calibri"/>
              </w:rPr>
            </w:pPr>
            <w:r w:rsidRPr="00FD6645">
              <w:rPr>
                <w:rFonts w:ascii="Calibri" w:eastAsia="Times New Roman" w:hAnsi="Calibri" w:cs="Calibri"/>
              </w:rPr>
              <w:t>Blog sobre Candelario Obeso.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6A8" w14:textId="4362BDCD" w:rsidR="00420F89" w:rsidRDefault="00FD6645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EP</w:t>
            </w:r>
            <w:r w:rsidR="0099741C">
              <w:rPr>
                <w:rFonts w:ascii="Calibri" w:eastAsia="Times New Roman" w:hAnsi="Calibri" w:cs="Calibri"/>
              </w:rPr>
              <w:t>1</w:t>
            </w:r>
          </w:p>
          <w:p w14:paraId="511F58D9" w14:textId="28D6FF54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232" w14:textId="296B8F36" w:rsidR="00420F89" w:rsidRDefault="00FD6645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</w:p>
          <w:p w14:paraId="3AA06F53" w14:textId="41BC6D43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2BD" w14:textId="2ACC8345" w:rsidR="00420F89" w:rsidRDefault="00FD6645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</w:t>
            </w:r>
          </w:p>
          <w:p w14:paraId="37DB8B9C" w14:textId="6567B6B7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D350F" w:rsidRPr="00E73453" w14:paraId="6CC3A97E" w14:textId="77777777" w:rsidTr="00BD350F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B3F" w14:textId="77777777" w:rsidR="00420F89" w:rsidRDefault="0099741C" w:rsidP="00586F4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Lectura</w:t>
            </w:r>
          </w:p>
          <w:p w14:paraId="6EE6F2A3" w14:textId="77777777" w:rsidR="003D505D" w:rsidRDefault="003D505D" w:rsidP="00586F44">
            <w:pPr>
              <w:rPr>
                <w:rFonts w:ascii="Calibri" w:eastAsia="Times New Roman" w:hAnsi="Calibri" w:cs="Calibri"/>
              </w:rPr>
            </w:pPr>
          </w:p>
          <w:p w14:paraId="7BDC5FAB" w14:textId="493AC6BC" w:rsidR="003D505D" w:rsidRPr="00E73453" w:rsidRDefault="003D505D" w:rsidP="00586F4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464" w14:textId="56BA7BF9" w:rsidR="00420F89" w:rsidRDefault="00420F89" w:rsidP="00586F44">
            <w:pPr>
              <w:rPr>
                <w:rFonts w:ascii="Calibri" w:eastAsia="Times New Roman" w:hAnsi="Calibri" w:cs="Calibri"/>
                <w:lang w:val="uz-Cyrl-UZ"/>
              </w:rPr>
            </w:pPr>
            <w:r w:rsidRPr="00DF602D">
              <w:rPr>
                <w:rFonts w:ascii="Calibri" w:eastAsia="Times New Roman" w:hAnsi="Calibri" w:cs="Calibri"/>
                <w:lang w:val="uz-Cyrl-UZ"/>
              </w:rPr>
              <w:t> </w:t>
            </w:r>
            <w:r w:rsidR="0099741C" w:rsidRPr="00DF602D">
              <w:rPr>
                <w:rFonts w:ascii="Calibri" w:eastAsia="Times New Roman" w:hAnsi="Calibri" w:cs="Calibri"/>
                <w:lang w:val="uz-Cyrl-UZ"/>
              </w:rPr>
              <w:t xml:space="preserve">1886 por José Caicedo Rojas: Estado actual de la </w:t>
            </w:r>
            <w:r w:rsidR="003D505D" w:rsidRPr="00DF602D">
              <w:rPr>
                <w:rFonts w:ascii="Calibri" w:eastAsia="Times New Roman" w:hAnsi="Calibri" w:cs="Calibri"/>
                <w:lang w:val="uz-Cyrl-UZ"/>
              </w:rPr>
              <w:t>música</w:t>
            </w:r>
            <w:r w:rsidR="0099741C" w:rsidRPr="00DF602D">
              <w:rPr>
                <w:rFonts w:ascii="Calibri" w:eastAsia="Times New Roman" w:hAnsi="Calibri" w:cs="Calibri"/>
                <w:lang w:val="uz-Cyrl-UZ"/>
              </w:rPr>
              <w:t xml:space="preserve"> en </w:t>
            </w:r>
            <w:r w:rsidR="003D505D" w:rsidRPr="00DF602D">
              <w:rPr>
                <w:rFonts w:ascii="Calibri" w:eastAsia="Times New Roman" w:hAnsi="Calibri" w:cs="Calibri"/>
                <w:lang w:val="uz-Cyrl-UZ"/>
              </w:rPr>
              <w:t>Bogotá</w:t>
            </w:r>
            <w:r w:rsidR="003D505D">
              <w:rPr>
                <w:rFonts w:ascii="Calibri" w:eastAsia="Times New Roman" w:hAnsi="Calibri" w:cs="Calibri"/>
                <w:lang w:val="uz-Cyrl-UZ"/>
              </w:rPr>
              <w:t>.</w:t>
            </w:r>
            <w:r w:rsidR="0099741C" w:rsidRPr="00DF602D">
              <w:rPr>
                <w:rFonts w:ascii="Calibri" w:eastAsia="Times New Roman" w:hAnsi="Calibri" w:cs="Calibri"/>
                <w:lang w:val="uz-Cyrl-UZ"/>
              </w:rPr>
              <w:t xml:space="preserve">  Haga clic para ver más opciones. Este texto apareció en dos entregas del periódico El Semanario.</w:t>
            </w:r>
          </w:p>
          <w:p w14:paraId="504F0D98" w14:textId="4FE1AF14" w:rsidR="003D505D" w:rsidRPr="00DF602D" w:rsidRDefault="003D505D" w:rsidP="00586F44">
            <w:pPr>
              <w:rPr>
                <w:rFonts w:ascii="Calibri" w:eastAsia="Times New Roman" w:hAnsi="Calibri" w:cs="Calibri"/>
                <w:lang w:val="uz-Cyrl-U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4A1" w14:textId="3E184CC5" w:rsidR="00420F89" w:rsidRDefault="0099741C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EP2</w:t>
            </w:r>
          </w:p>
          <w:p w14:paraId="218CB21B" w14:textId="77777777" w:rsidR="003D505D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  <w:p w14:paraId="5F377B9E" w14:textId="375A62CA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403" w14:textId="1E61E369" w:rsidR="00420F89" w:rsidRDefault="0099741C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</w:p>
          <w:p w14:paraId="48AD8941" w14:textId="77777777" w:rsidR="003D505D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  <w:p w14:paraId="6E8E534F" w14:textId="0B4A9E74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A08" w14:textId="02D4B70D" w:rsidR="00420F89" w:rsidRDefault="0099741C" w:rsidP="00D2580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</w:t>
            </w:r>
          </w:p>
          <w:p w14:paraId="0BCBE9DA" w14:textId="77777777" w:rsidR="003D505D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  <w:p w14:paraId="651EE1A7" w14:textId="6D9F1A96" w:rsidR="003D505D" w:rsidRPr="00E73453" w:rsidRDefault="003D505D" w:rsidP="00D2580B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bookmarkEnd w:id="0"/>
    </w:tbl>
    <w:p w14:paraId="3F688BDE" w14:textId="2625F132" w:rsidR="007313BA" w:rsidRDefault="007313BA"/>
    <w:p w14:paraId="2030DEEE" w14:textId="77777777" w:rsidR="00536D8C" w:rsidRDefault="00536D8C">
      <w:pPr>
        <w:spacing w:after="160" w:line="259" w:lineRule="auto"/>
        <w:rPr>
          <w:rFonts w:asciiTheme="majorHAnsi" w:eastAsiaTheme="majorEastAsia" w:hAnsiTheme="majorHAnsi" w:cstheme="majorBidi"/>
          <w:color w:val="1F3763" w:themeColor="accent1" w:themeShade="7F"/>
          <w:lang w:val="es-ES"/>
        </w:rPr>
      </w:pPr>
      <w:r>
        <w:rPr>
          <w:lang w:val="es-ES"/>
        </w:rPr>
        <w:br w:type="page"/>
      </w:r>
    </w:p>
    <w:p w14:paraId="76E3E774" w14:textId="5655447A" w:rsidR="00176163" w:rsidRPr="00B46987" w:rsidRDefault="00176163" w:rsidP="00176163">
      <w:pPr>
        <w:pStyle w:val="Ttulo3"/>
        <w:rPr>
          <w:lang w:val="es-ES"/>
        </w:rPr>
      </w:pPr>
      <w:r>
        <w:rPr>
          <w:lang w:val="es-ES"/>
        </w:rPr>
        <w:lastRenderedPageBreak/>
        <w:t>6.2</w:t>
      </w:r>
      <w:r>
        <w:rPr>
          <w:lang w:val="es-ES"/>
        </w:rPr>
        <w:tab/>
      </w:r>
      <w:r w:rsidRPr="00B46987">
        <w:rPr>
          <w:lang w:val="es-ES"/>
        </w:rPr>
        <w:t>¿</w:t>
      </w:r>
      <w:r>
        <w:rPr>
          <w:lang w:val="es-ES"/>
        </w:rPr>
        <w:t>Cómo propiciar que los estudiantes aprendan?</w:t>
      </w:r>
    </w:p>
    <w:p w14:paraId="2033548A" w14:textId="77777777" w:rsidR="00176163" w:rsidRDefault="00176163" w:rsidP="00176163">
      <w:pPr>
        <w:pStyle w:val="Prrafodelista"/>
        <w:rPr>
          <w:lang w:val="es-CO"/>
        </w:rPr>
      </w:pPr>
    </w:p>
    <w:p w14:paraId="4548D458" w14:textId="58B9D51C" w:rsidR="00176163" w:rsidRPr="00586F44" w:rsidRDefault="00176163" w:rsidP="00176163">
      <w:pPr>
        <w:rPr>
          <w:color w:val="595959" w:themeColor="text1" w:themeTint="A6"/>
          <w:sz w:val="20"/>
          <w:lang w:val="es-ES"/>
        </w:rPr>
      </w:pPr>
      <w:r>
        <w:rPr>
          <w:color w:val="595959" w:themeColor="text1" w:themeTint="A6"/>
          <w:sz w:val="20"/>
          <w:szCs w:val="20"/>
          <w:lang w:val="es-CO"/>
        </w:rPr>
        <w:t xml:space="preserve">HT2 </w:t>
      </w:r>
      <w:r w:rsidRPr="00F87884">
        <w:rPr>
          <w:color w:val="595959" w:themeColor="text1" w:themeTint="A6"/>
          <w:sz w:val="20"/>
          <w:szCs w:val="20"/>
          <w:lang w:val="es-CO"/>
        </w:rPr>
        <w:t>tabla HT1</w:t>
      </w:r>
      <w:r>
        <w:rPr>
          <w:color w:val="595959" w:themeColor="text1" w:themeTint="A6"/>
          <w:sz w:val="20"/>
          <w:szCs w:val="20"/>
          <w:lang w:val="es-CO"/>
        </w:rPr>
        <w:t>5</w:t>
      </w:r>
      <w:r w:rsidRPr="00F87884">
        <w:rPr>
          <w:color w:val="595959" w:themeColor="text1" w:themeTint="A6"/>
          <w:sz w:val="20"/>
          <w:szCs w:val="20"/>
          <w:lang w:val="es-CO"/>
        </w:rPr>
        <w:t xml:space="preserve"> </w:t>
      </w:r>
      <w:r w:rsidR="00536D8C">
        <w:rPr>
          <w:color w:val="595959" w:themeColor="text1" w:themeTint="A6"/>
          <w:sz w:val="20"/>
          <w:szCs w:val="20"/>
          <w:lang w:val="es-CO"/>
        </w:rPr>
        <w:t>hace uso de</w:t>
      </w:r>
      <w:r w:rsidRPr="00F87884">
        <w:rPr>
          <w:color w:val="595959" w:themeColor="text1" w:themeTint="A6"/>
          <w:sz w:val="20"/>
          <w:szCs w:val="20"/>
          <w:lang w:val="es-CO"/>
        </w:rPr>
        <w:t xml:space="preserve"> las siguientes </w:t>
      </w:r>
      <w:r w:rsidR="00536D8C">
        <w:rPr>
          <w:color w:val="595959" w:themeColor="text1" w:themeTint="A6"/>
          <w:sz w:val="20"/>
          <w:szCs w:val="20"/>
          <w:lang w:val="es-CO"/>
        </w:rPr>
        <w:t>abreviaturas</w:t>
      </w:r>
      <w:r w:rsidR="00536D8C">
        <w:rPr>
          <w:color w:val="595959" w:themeColor="text1" w:themeTint="A6"/>
          <w:sz w:val="20"/>
          <w:szCs w:val="20"/>
          <w:lang w:val="es-ES"/>
        </w:rPr>
        <w:t xml:space="preserve"> y conceptos</w:t>
      </w:r>
      <w:r w:rsidRPr="000118CD">
        <w:rPr>
          <w:color w:val="595959" w:themeColor="text1" w:themeTint="A6"/>
          <w:sz w:val="20"/>
          <w:lang w:val="es-ES"/>
        </w:rPr>
        <w:t>:</w:t>
      </w:r>
    </w:p>
    <w:p w14:paraId="452C07FB" w14:textId="396F0E0C" w:rsidR="00176163" w:rsidRPr="000118CD" w:rsidRDefault="00176163" w:rsidP="00536D8C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color w:val="595959" w:themeColor="text1" w:themeTint="A6"/>
          <w:sz w:val="20"/>
          <w:lang w:val="es-ES"/>
        </w:rPr>
        <w:t xml:space="preserve">[Entorno] </w:t>
      </w:r>
      <w:r w:rsidRPr="000118CD">
        <w:rPr>
          <w:b/>
          <w:color w:val="595959" w:themeColor="text1" w:themeTint="A6"/>
          <w:sz w:val="20"/>
          <w:lang w:val="es-ES"/>
        </w:rPr>
        <w:t>Físico</w:t>
      </w:r>
      <w:r w:rsidRPr="000118CD">
        <w:rPr>
          <w:color w:val="595959" w:themeColor="text1" w:themeTint="A6"/>
          <w:sz w:val="20"/>
          <w:lang w:val="es-ES"/>
        </w:rPr>
        <w:t>: salón de clase, taller, laboratorio.</w:t>
      </w:r>
      <w:r w:rsidR="00536D8C">
        <w:rPr>
          <w:color w:val="595959" w:themeColor="text1" w:themeTint="A6"/>
          <w:sz w:val="20"/>
          <w:lang w:val="es-ES"/>
        </w:rPr>
        <w:t xml:space="preserve"> </w:t>
      </w:r>
      <w:r w:rsidRPr="000118CD">
        <w:rPr>
          <w:b/>
          <w:color w:val="595959" w:themeColor="text1" w:themeTint="A6"/>
          <w:sz w:val="20"/>
          <w:lang w:val="es-ES"/>
        </w:rPr>
        <w:t>Virtual</w:t>
      </w:r>
      <w:r w:rsidRPr="000118CD">
        <w:rPr>
          <w:color w:val="595959" w:themeColor="text1" w:themeTint="A6"/>
          <w:sz w:val="20"/>
          <w:lang w:val="es-ES"/>
        </w:rPr>
        <w:t xml:space="preserve">: LMS, red social, sitio en red. </w:t>
      </w:r>
      <w:r w:rsidR="00536D8C">
        <w:rPr>
          <w:color w:val="595959" w:themeColor="text1" w:themeTint="A6"/>
          <w:sz w:val="20"/>
          <w:lang w:val="es-ES"/>
        </w:rPr>
        <w:t xml:space="preserve"> </w:t>
      </w:r>
      <w:r w:rsidRPr="000118CD">
        <w:rPr>
          <w:b/>
          <w:color w:val="595959" w:themeColor="text1" w:themeTint="A6"/>
          <w:sz w:val="20"/>
          <w:lang w:val="es-ES"/>
        </w:rPr>
        <w:t>Autónomo</w:t>
      </w:r>
      <w:r w:rsidRPr="000118CD">
        <w:rPr>
          <w:color w:val="595959" w:themeColor="text1" w:themeTint="A6"/>
          <w:sz w:val="20"/>
          <w:lang w:val="es-ES"/>
        </w:rPr>
        <w:t xml:space="preserve">: oficina, casa, biblioteca, etc. </w:t>
      </w:r>
    </w:p>
    <w:p w14:paraId="453AF523" w14:textId="3147CE4D" w:rsidR="00176163" w:rsidRPr="000118CD" w:rsidRDefault="00176163" w:rsidP="00176163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b/>
          <w:color w:val="595959" w:themeColor="text1" w:themeTint="A6"/>
          <w:sz w:val="20"/>
          <w:lang w:val="es-ES"/>
        </w:rPr>
        <w:t>EP</w:t>
      </w:r>
      <w:r w:rsidRPr="000118CD">
        <w:rPr>
          <w:color w:val="595959" w:themeColor="text1" w:themeTint="A6"/>
          <w:sz w:val="20"/>
          <w:lang w:val="es-ES"/>
        </w:rPr>
        <w:t xml:space="preserve"> </w:t>
      </w:r>
      <w:proofErr w:type="spellStart"/>
      <w:r w:rsidRPr="000118CD">
        <w:rPr>
          <w:color w:val="595959" w:themeColor="text1" w:themeTint="A6"/>
          <w:sz w:val="20"/>
          <w:lang w:val="es-ES"/>
        </w:rPr>
        <w:t>n.x</w:t>
      </w:r>
      <w:proofErr w:type="spellEnd"/>
      <w:r w:rsidRPr="000118CD">
        <w:rPr>
          <w:color w:val="595959" w:themeColor="text1" w:themeTint="A6"/>
          <w:sz w:val="20"/>
          <w:lang w:val="es-ES"/>
        </w:rPr>
        <w:t xml:space="preserve">: </w:t>
      </w:r>
      <w:r>
        <w:rPr>
          <w:color w:val="595959" w:themeColor="text1" w:themeTint="A6"/>
          <w:sz w:val="20"/>
          <w:lang w:val="es-ES"/>
        </w:rPr>
        <w:tab/>
      </w:r>
      <w:r w:rsidRPr="000118CD">
        <w:rPr>
          <w:color w:val="595959" w:themeColor="text1" w:themeTint="A6"/>
          <w:sz w:val="20"/>
          <w:lang w:val="es-ES"/>
        </w:rPr>
        <w:t xml:space="preserve">Entendimiento perdurable </w:t>
      </w:r>
      <w:proofErr w:type="spellStart"/>
      <w:r w:rsidRPr="000118CD">
        <w:rPr>
          <w:color w:val="595959" w:themeColor="text1" w:themeTint="A6"/>
          <w:sz w:val="20"/>
          <w:lang w:val="es-ES"/>
        </w:rPr>
        <w:t>N.x</w:t>
      </w:r>
      <w:proofErr w:type="spellEnd"/>
    </w:p>
    <w:p w14:paraId="4300C322" w14:textId="079F08F8" w:rsidR="00176163" w:rsidRDefault="00176163" w:rsidP="00536D8C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color w:val="595959" w:themeColor="text1" w:themeTint="A6"/>
          <w:sz w:val="20"/>
          <w:lang w:val="es-ES"/>
        </w:rPr>
        <w:t>[Evaluación</w:t>
      </w:r>
      <w:proofErr w:type="gramStart"/>
      <w:r w:rsidRPr="000118CD">
        <w:rPr>
          <w:color w:val="595959" w:themeColor="text1" w:themeTint="A6"/>
          <w:sz w:val="20"/>
          <w:lang w:val="es-ES"/>
        </w:rPr>
        <w:t xml:space="preserve">] </w:t>
      </w:r>
      <w:r w:rsidR="00536D8C">
        <w:rPr>
          <w:color w:val="595959" w:themeColor="text1" w:themeTint="A6"/>
          <w:sz w:val="20"/>
          <w:lang w:val="es-ES"/>
        </w:rPr>
        <w:t xml:space="preserve"> </w:t>
      </w:r>
      <w:r w:rsidRPr="000118CD">
        <w:rPr>
          <w:b/>
          <w:color w:val="595959" w:themeColor="text1" w:themeTint="A6"/>
          <w:sz w:val="20"/>
          <w:lang w:val="es-ES"/>
        </w:rPr>
        <w:t>Au</w:t>
      </w:r>
      <w:proofErr w:type="gramEnd"/>
      <w:r w:rsidRPr="000118CD">
        <w:rPr>
          <w:color w:val="595959" w:themeColor="text1" w:themeTint="A6"/>
          <w:sz w:val="20"/>
          <w:lang w:val="es-ES"/>
        </w:rPr>
        <w:t xml:space="preserve">: autoevaluación, </w:t>
      </w:r>
      <w:r w:rsidR="00536D8C">
        <w:rPr>
          <w:color w:val="595959" w:themeColor="text1" w:themeTint="A6"/>
          <w:sz w:val="20"/>
          <w:lang w:val="es-ES"/>
        </w:rPr>
        <w:t xml:space="preserve"> </w:t>
      </w:r>
      <w:r w:rsidRPr="000118CD">
        <w:rPr>
          <w:b/>
          <w:color w:val="595959" w:themeColor="text1" w:themeTint="A6"/>
          <w:sz w:val="20"/>
          <w:lang w:val="es-ES"/>
        </w:rPr>
        <w:t>Co</w:t>
      </w:r>
      <w:r w:rsidRPr="000118CD">
        <w:rPr>
          <w:color w:val="595959" w:themeColor="text1" w:themeTint="A6"/>
          <w:sz w:val="20"/>
          <w:lang w:val="es-ES"/>
        </w:rPr>
        <w:t xml:space="preserve">: coevaluación, </w:t>
      </w:r>
      <w:r w:rsidRPr="000118CD">
        <w:rPr>
          <w:b/>
          <w:color w:val="595959" w:themeColor="text1" w:themeTint="A6"/>
          <w:sz w:val="20"/>
          <w:lang w:val="es-ES"/>
        </w:rPr>
        <w:t>He</w:t>
      </w:r>
      <w:r w:rsidRPr="000118CD">
        <w:rPr>
          <w:color w:val="595959" w:themeColor="text1" w:themeTint="A6"/>
          <w:sz w:val="20"/>
          <w:lang w:val="es-ES"/>
        </w:rPr>
        <w:t xml:space="preserve">: heteroevaluación </w:t>
      </w:r>
    </w:p>
    <w:p w14:paraId="0F4AC0F4" w14:textId="77777777" w:rsidR="00176163" w:rsidRPr="000118CD" w:rsidRDefault="00176163" w:rsidP="00176163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color w:val="595959" w:themeColor="text1" w:themeTint="A6"/>
          <w:sz w:val="20"/>
          <w:lang w:val="es-ES"/>
        </w:rPr>
        <w:t xml:space="preserve">[Unidad] </w:t>
      </w:r>
      <w:r>
        <w:rPr>
          <w:color w:val="595959" w:themeColor="text1" w:themeTint="A6"/>
          <w:sz w:val="20"/>
          <w:lang w:val="es-ES"/>
        </w:rPr>
        <w:tab/>
      </w:r>
      <w:r w:rsidRPr="000118CD">
        <w:rPr>
          <w:b/>
          <w:color w:val="595959" w:themeColor="text1" w:themeTint="A6"/>
          <w:sz w:val="20"/>
          <w:lang w:val="es-ES"/>
        </w:rPr>
        <w:t>N</w:t>
      </w:r>
      <w:r w:rsidRPr="000118CD">
        <w:rPr>
          <w:color w:val="595959" w:themeColor="text1" w:themeTint="A6"/>
          <w:sz w:val="20"/>
          <w:lang w:val="es-ES"/>
        </w:rPr>
        <w:t xml:space="preserve">: Número de la gran idea, </w:t>
      </w:r>
      <w:r w:rsidRPr="000118CD">
        <w:rPr>
          <w:b/>
          <w:color w:val="595959" w:themeColor="text1" w:themeTint="A6"/>
          <w:sz w:val="20"/>
          <w:lang w:val="es-ES"/>
        </w:rPr>
        <w:t xml:space="preserve">bla </w:t>
      </w:r>
      <w:proofErr w:type="spellStart"/>
      <w:r w:rsidRPr="000118CD">
        <w:rPr>
          <w:b/>
          <w:color w:val="595959" w:themeColor="text1" w:themeTint="A6"/>
          <w:sz w:val="20"/>
          <w:lang w:val="es-ES"/>
        </w:rPr>
        <w:t>bla</w:t>
      </w:r>
      <w:proofErr w:type="spellEnd"/>
      <w:r w:rsidRPr="000118CD">
        <w:rPr>
          <w:b/>
          <w:color w:val="595959" w:themeColor="text1" w:themeTint="A6"/>
          <w:sz w:val="20"/>
          <w:lang w:val="es-ES"/>
        </w:rPr>
        <w:t xml:space="preserve"> </w:t>
      </w:r>
      <w:proofErr w:type="spellStart"/>
      <w:r w:rsidRPr="000118CD">
        <w:rPr>
          <w:b/>
          <w:color w:val="595959" w:themeColor="text1" w:themeTint="A6"/>
          <w:sz w:val="20"/>
          <w:lang w:val="es-ES"/>
        </w:rPr>
        <w:t>bla</w:t>
      </w:r>
      <w:proofErr w:type="spellEnd"/>
      <w:r w:rsidRPr="000118CD">
        <w:rPr>
          <w:color w:val="595959" w:themeColor="text1" w:themeTint="A6"/>
          <w:sz w:val="20"/>
          <w:lang w:val="es-ES"/>
        </w:rPr>
        <w:t>: verbalización de la gran idea</w:t>
      </w:r>
    </w:p>
    <w:p w14:paraId="41D8FCB3" w14:textId="77777777" w:rsidR="00176163" w:rsidRPr="00877ADD" w:rsidRDefault="00176163" w:rsidP="00176163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b/>
          <w:color w:val="595959" w:themeColor="text1" w:themeTint="A6"/>
          <w:sz w:val="20"/>
          <w:lang w:val="es-ES"/>
        </w:rPr>
        <w:t>RO</w:t>
      </w:r>
      <w:r w:rsidRPr="000118CD">
        <w:rPr>
          <w:color w:val="595959" w:themeColor="text1" w:themeTint="A6"/>
          <w:sz w:val="20"/>
          <w:lang w:val="es-ES"/>
        </w:rPr>
        <w:t xml:space="preserve"> </w:t>
      </w:r>
      <w:proofErr w:type="spellStart"/>
      <w:r w:rsidRPr="000118CD">
        <w:rPr>
          <w:color w:val="595959" w:themeColor="text1" w:themeTint="A6"/>
          <w:sz w:val="20"/>
          <w:lang w:val="es-ES"/>
        </w:rPr>
        <w:t>n.x</w:t>
      </w:r>
      <w:proofErr w:type="spellEnd"/>
      <w:r w:rsidRPr="000118CD">
        <w:rPr>
          <w:color w:val="595959" w:themeColor="text1" w:themeTint="A6"/>
          <w:sz w:val="20"/>
          <w:lang w:val="es-ES"/>
        </w:rPr>
        <w:t xml:space="preserve">: </w:t>
      </w:r>
      <w:r>
        <w:rPr>
          <w:color w:val="595959" w:themeColor="text1" w:themeTint="A6"/>
          <w:sz w:val="20"/>
          <w:lang w:val="es-ES"/>
        </w:rPr>
        <w:tab/>
      </w:r>
      <w:r w:rsidRPr="000118CD">
        <w:rPr>
          <w:color w:val="595959" w:themeColor="text1" w:themeTint="A6"/>
          <w:sz w:val="20"/>
          <w:lang w:val="es-ES"/>
        </w:rPr>
        <w:t xml:space="preserve">Resultado observable </w:t>
      </w:r>
      <w:proofErr w:type="spellStart"/>
      <w:r w:rsidRPr="000118CD">
        <w:rPr>
          <w:color w:val="595959" w:themeColor="text1" w:themeTint="A6"/>
          <w:sz w:val="20"/>
          <w:lang w:val="es-ES"/>
        </w:rPr>
        <w:t>N.y</w:t>
      </w:r>
      <w:proofErr w:type="spellEnd"/>
    </w:p>
    <w:p w14:paraId="05B573AA" w14:textId="232866FD" w:rsidR="00176163" w:rsidRPr="00176163" w:rsidRDefault="00176163" w:rsidP="00536D8C">
      <w:pPr>
        <w:pStyle w:val="Sinespaciado"/>
        <w:spacing w:line="276" w:lineRule="auto"/>
        <w:ind w:left="720"/>
        <w:rPr>
          <w:color w:val="595959" w:themeColor="text1" w:themeTint="A6"/>
          <w:sz w:val="20"/>
          <w:lang w:val="es-ES"/>
        </w:rPr>
      </w:pPr>
      <w:r w:rsidRPr="000118CD">
        <w:rPr>
          <w:color w:val="595959" w:themeColor="text1" w:themeTint="A6"/>
          <w:sz w:val="20"/>
          <w:lang w:val="es-ES"/>
        </w:rPr>
        <w:t>[Tipo de medio</w:t>
      </w:r>
      <w:proofErr w:type="gramStart"/>
      <w:r w:rsidRPr="000118CD">
        <w:rPr>
          <w:color w:val="595959" w:themeColor="text1" w:themeTint="A6"/>
          <w:sz w:val="20"/>
          <w:lang w:val="es-ES"/>
        </w:rPr>
        <w:t xml:space="preserve">] </w:t>
      </w:r>
      <w:r w:rsidR="00536D8C">
        <w:rPr>
          <w:color w:val="595959" w:themeColor="text1" w:themeTint="A6"/>
          <w:sz w:val="20"/>
          <w:lang w:val="es-ES"/>
        </w:rPr>
        <w:t xml:space="preserve"> </w:t>
      </w:r>
      <w:r w:rsidRPr="000118CD">
        <w:rPr>
          <w:b/>
          <w:color w:val="595959" w:themeColor="text1" w:themeTint="A6"/>
          <w:sz w:val="20"/>
          <w:lang w:val="es-ES"/>
        </w:rPr>
        <w:t>Ex</w:t>
      </w:r>
      <w:proofErr w:type="gramEnd"/>
      <w:r w:rsidRPr="000118CD">
        <w:rPr>
          <w:color w:val="595959" w:themeColor="text1" w:themeTint="A6"/>
          <w:sz w:val="20"/>
          <w:lang w:val="es-ES"/>
        </w:rPr>
        <w:t xml:space="preserve">: Expositivo, </w:t>
      </w:r>
      <w:proofErr w:type="spellStart"/>
      <w:r w:rsidRPr="000118CD">
        <w:rPr>
          <w:b/>
          <w:color w:val="595959" w:themeColor="text1" w:themeTint="A6"/>
          <w:sz w:val="20"/>
          <w:lang w:val="es-ES"/>
        </w:rPr>
        <w:t>Act</w:t>
      </w:r>
      <w:proofErr w:type="spellEnd"/>
      <w:r w:rsidRPr="000118CD">
        <w:rPr>
          <w:color w:val="595959" w:themeColor="text1" w:themeTint="A6"/>
          <w:sz w:val="20"/>
          <w:lang w:val="es-ES"/>
        </w:rPr>
        <w:t xml:space="preserve">: Activo, </w:t>
      </w:r>
      <w:r w:rsidRPr="000118CD">
        <w:rPr>
          <w:b/>
          <w:color w:val="595959" w:themeColor="text1" w:themeTint="A6"/>
          <w:sz w:val="20"/>
          <w:lang w:val="es-ES"/>
        </w:rPr>
        <w:t>Int</w:t>
      </w:r>
      <w:r w:rsidRPr="000118CD">
        <w:rPr>
          <w:color w:val="595959" w:themeColor="text1" w:themeTint="A6"/>
          <w:sz w:val="20"/>
          <w:lang w:val="es-ES"/>
        </w:rPr>
        <w:t>: Interactivo</w:t>
      </w:r>
    </w:p>
    <w:p w14:paraId="1D22ED0B" w14:textId="77777777" w:rsidR="00176163" w:rsidRPr="003260C2" w:rsidRDefault="00176163" w:rsidP="00176163">
      <w:pPr>
        <w:rPr>
          <w:lang w:val="es-CO"/>
        </w:rPr>
      </w:pPr>
    </w:p>
    <w:p w14:paraId="0EF2E67C" w14:textId="77777777" w:rsidR="00176163" w:rsidRDefault="00176163" w:rsidP="00176163">
      <w:pPr>
        <w:rPr>
          <w:lang w:val="es-CO"/>
        </w:rPr>
      </w:pPr>
    </w:p>
    <w:p w14:paraId="1780CD4F" w14:textId="77777777" w:rsidR="00176163" w:rsidRPr="000F24C8" w:rsidRDefault="00176163" w:rsidP="00176163">
      <w:pPr>
        <w:pStyle w:val="Descripcin"/>
        <w:spacing w:after="0"/>
        <w:rPr>
          <w:lang w:val="es-ES" w:eastAsia="en-US"/>
        </w:rPr>
      </w:pPr>
      <w:r>
        <w:rPr>
          <w:lang w:val="es-CO"/>
        </w:rPr>
        <w:t xml:space="preserve">HT2 Tabla 15. </w:t>
      </w:r>
      <w:r w:rsidRPr="000F24C8">
        <w:rPr>
          <w:lang w:val="es-ES" w:eastAsia="en-US"/>
        </w:rPr>
        <w:t>Plan de trabajo para el desarrollo de una de las unidades de enseñanza que corresponden a una gran idea</w:t>
      </w:r>
    </w:p>
    <w:tbl>
      <w:tblPr>
        <w:tblW w:w="14113" w:type="dxa"/>
        <w:tblLook w:val="04A0" w:firstRow="1" w:lastRow="0" w:firstColumn="1" w:lastColumn="0" w:noHBand="0" w:noVBand="1"/>
      </w:tblPr>
      <w:tblGrid>
        <w:gridCol w:w="846"/>
        <w:gridCol w:w="1037"/>
        <w:gridCol w:w="1016"/>
        <w:gridCol w:w="1036"/>
        <w:gridCol w:w="4015"/>
        <w:gridCol w:w="1367"/>
        <w:gridCol w:w="575"/>
        <w:gridCol w:w="757"/>
        <w:gridCol w:w="2307"/>
        <w:gridCol w:w="1157"/>
      </w:tblGrid>
      <w:tr w:rsidR="00176163" w:rsidRPr="00E07D19" w14:paraId="18830989" w14:textId="77777777" w:rsidTr="00536D8C">
        <w:trPr>
          <w:trHeight w:val="255"/>
          <w:tblHeader/>
        </w:trPr>
        <w:tc>
          <w:tcPr>
            <w:tcW w:w="14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3511442" w14:textId="4920708B" w:rsidR="00176163" w:rsidRPr="000F3750" w:rsidRDefault="004D5FD5" w:rsidP="004D5FD5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 xml:space="preserve">Unidad 1: Sonidos y Contextos en Colombia durante el siglo XIX. </w:t>
            </w:r>
            <w:r w:rsidR="00176163" w:rsidRPr="000F3750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>Gran idea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 xml:space="preserve"> 1</w:t>
            </w:r>
          </w:p>
        </w:tc>
      </w:tr>
      <w:tr w:rsidR="00176163" w:rsidRPr="00A9003E" w14:paraId="565494B1" w14:textId="77777777" w:rsidTr="00536D8C">
        <w:trPr>
          <w:trHeight w:val="255"/>
          <w:tblHeader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119346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Semana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br/>
              <w:t>No.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BE1B6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Duración actividad (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h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oras)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entorno </w:t>
            </w:r>
          </w:p>
        </w:tc>
        <w:tc>
          <w:tcPr>
            <w:tcW w:w="4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1ED191" w14:textId="77777777" w:rsidR="00176163" w:rsidRPr="000F3750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 w:rsidRPr="000F3750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 xml:space="preserve">Descripción de la actividad y </w:t>
            </w:r>
            <w:r w:rsidRPr="000F3750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br/>
              <w:t>del recurso a usar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A8855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Tipo de medio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D0ADC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EP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65592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0D65A1" w14:textId="77777777" w:rsidR="00176163" w:rsidRPr="000F3750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</w:pPr>
            <w:r w:rsidRPr="000F3750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t xml:space="preserve">Evidencia de aprendizaje </w:t>
            </w:r>
            <w:r w:rsidRPr="000F3750">
              <w:rPr>
                <w:rFonts w:eastAsia="Times New Roman" w:cs="Calibri"/>
                <w:b/>
                <w:bCs/>
                <w:sz w:val="20"/>
                <w:szCs w:val="20"/>
                <w:lang w:val="es-ES"/>
              </w:rPr>
              <w:br/>
              <w:t>y rúbrica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00B60B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Evaluación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br/>
              <w:t>Au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Co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/He</w:t>
            </w:r>
          </w:p>
        </w:tc>
      </w:tr>
      <w:tr w:rsidR="00176163" w:rsidRPr="00A9003E" w14:paraId="3D29A850" w14:textId="77777777" w:rsidTr="00536D8C">
        <w:trPr>
          <w:trHeight w:val="255"/>
          <w:tblHeader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3C32" w14:textId="77777777" w:rsidR="00176163" w:rsidRPr="00A9003E" w:rsidRDefault="00176163" w:rsidP="008E0971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7013C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Físico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7480B" w14:textId="6FCFA171" w:rsidR="00176163" w:rsidRPr="00A9003E" w:rsidRDefault="00176163" w:rsidP="00D5397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Virtual</w:t>
            </w:r>
            <w:r w:rsidR="00D53976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3A18B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Autónom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948" w14:textId="77777777" w:rsidR="00176163" w:rsidRPr="00A9003E" w:rsidRDefault="00176163" w:rsidP="008E0971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B9316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Exp / Act / Int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661BE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n.x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0C369" w14:textId="77777777" w:rsidR="00176163" w:rsidRPr="00A9003E" w:rsidRDefault="00176163" w:rsidP="008E097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003E">
              <w:rPr>
                <w:rFonts w:eastAsia="Times New Roman" w:cs="Calibri"/>
                <w:b/>
                <w:bCs/>
                <w:sz w:val="20"/>
                <w:szCs w:val="20"/>
              </w:rPr>
              <w:t>n.y</w:t>
            </w:r>
            <w:proofErr w:type="spellEnd"/>
            <w:proofErr w:type="gramEnd"/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A0E" w14:textId="77777777" w:rsidR="00176163" w:rsidRPr="00A9003E" w:rsidRDefault="00176163" w:rsidP="008E0971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1F0B" w14:textId="77777777" w:rsidR="00176163" w:rsidRPr="00A9003E" w:rsidRDefault="00176163" w:rsidP="008E0971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3B43EC" w:rsidRPr="00A9003E" w14:paraId="2A01EB5D" w14:textId="77777777" w:rsidTr="003D16EF">
        <w:trPr>
          <w:trHeight w:val="46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6AC" w14:textId="144760E2" w:rsidR="003B43EC" w:rsidRPr="00A9003E" w:rsidRDefault="003B43EC" w:rsidP="003D16EF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  <w:p w14:paraId="05F42B5F" w14:textId="115C67D7" w:rsidR="003B43EC" w:rsidRPr="00A9003E" w:rsidRDefault="003B43EC" w:rsidP="003D16EF">
            <w:pPr>
              <w:jc w:val="center"/>
              <w:rPr>
                <w:rFonts w:ascii="Calibri" w:eastAsia="Times New Roman" w:hAnsi="Calibri" w:cs="Calibri"/>
              </w:rPr>
            </w:pPr>
          </w:p>
          <w:p w14:paraId="03309F8D" w14:textId="21085D41" w:rsidR="003B43EC" w:rsidRPr="00A9003E" w:rsidRDefault="003B43EC" w:rsidP="003D16EF">
            <w:pPr>
              <w:jc w:val="center"/>
              <w:rPr>
                <w:rFonts w:ascii="Calibri" w:eastAsia="Times New Roman" w:hAnsi="Calibri" w:cs="Calibri"/>
              </w:rPr>
            </w:pPr>
          </w:p>
          <w:p w14:paraId="022ACB33" w14:textId="58EE384A" w:rsidR="003B43EC" w:rsidRPr="00A9003E" w:rsidRDefault="003B43EC" w:rsidP="003D16EF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179A" w14:textId="7777777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5201" w14:textId="7777777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BFCA" w14:textId="35DDACB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horas</w:t>
            </w: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708A" w14:textId="43D10873" w:rsidR="003B43EC" w:rsidRPr="00536D8C" w:rsidRDefault="003B43EC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Realizar lecturas sobre la historia de la música colombiana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34E6" w14:textId="71C63EEB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5A8B" w14:textId="77777777" w:rsidR="003B43EC" w:rsidRDefault="003B43EC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1.1</w:t>
            </w:r>
          </w:p>
          <w:p w14:paraId="1B54426F" w14:textId="624A60EF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93E1" w14:textId="6C3185E2" w:rsidR="003B43EC" w:rsidRDefault="003B43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0A855EDD" w14:textId="6BB6FD85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0327" w14:textId="1710C027" w:rsidR="003B43EC" w:rsidRPr="00536D8C" w:rsidRDefault="006B61E2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Participación en la herramienta NB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B1DB" w14:textId="011345D3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036B7B" w:rsidRPr="00A9003E" w14:paraId="4F14E70B" w14:textId="77777777" w:rsidTr="003B43EC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093B" w14:textId="02AF326D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E9FD" w14:textId="77777777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424F" w14:textId="27C90F2E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 hora</w:t>
            </w: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C1C5" w14:textId="5B640963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59CA" w14:textId="08CE1480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Comentar lecturas en NB y responder el comentario de un compañero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6F35" w14:textId="2A5489CA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Int.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914A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1.1</w:t>
            </w:r>
          </w:p>
          <w:p w14:paraId="5A5FE90B" w14:textId="7CA0A942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AB4A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1.1.1</w:t>
            </w:r>
          </w:p>
          <w:p w14:paraId="2C7C2BF4" w14:textId="67EC1770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0B21" w14:textId="7961C199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Comentarios de cada lectura en la   herramienta NB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C284" w14:textId="03D70FC7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3B43EC" w:rsidRPr="00A9003E" w14:paraId="48F78755" w14:textId="77777777" w:rsidTr="003B43EC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6776" w14:textId="0D67024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199E" w14:textId="7777777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B710" w14:textId="7777777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B39D" w14:textId="511F3D47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 horas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367F" w14:textId="63CB2EC3" w:rsidR="003B43EC" w:rsidRPr="00536D8C" w:rsidRDefault="003B43EC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Realizar lecturas, escuchar audios y ver </w:t>
            </w:r>
            <w:proofErr w:type="gramStart"/>
            <w:r w:rsidRPr="00536D8C">
              <w:rPr>
                <w:rFonts w:ascii="Calibri" w:eastAsia="Times New Roman" w:hAnsi="Calibri" w:cs="Calibri"/>
                <w:lang w:val="es-419"/>
              </w:rPr>
              <w:t>videos  sobre</w:t>
            </w:r>
            <w:proofErr w:type="gramEnd"/>
            <w:r w:rsidRPr="00536D8C">
              <w:rPr>
                <w:rFonts w:ascii="Calibri" w:eastAsia="Times New Roman" w:hAnsi="Calibri" w:cs="Calibri"/>
                <w:lang w:val="es-419"/>
              </w:rPr>
              <w:t xml:space="preserve"> prácticas musicales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8346" w14:textId="04CDDEC9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108E" w14:textId="3F415719" w:rsidR="003B43EC" w:rsidRDefault="003B43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</w:t>
            </w:r>
          </w:p>
          <w:p w14:paraId="2E42E5CE" w14:textId="6C2414DD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3AD0" w14:textId="29639B1D" w:rsidR="003B43EC" w:rsidRDefault="003B43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5776CD5A" w14:textId="38582A82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D469" w14:textId="7E9AC06A" w:rsidR="003B43EC" w:rsidRPr="00536D8C" w:rsidRDefault="006B61E2" w:rsidP="006B61E2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Argumentos para </w:t>
            </w:r>
            <w:r w:rsidR="00F664EC" w:rsidRPr="00536D8C">
              <w:rPr>
                <w:rFonts w:ascii="Calibri" w:eastAsia="Times New Roman" w:hAnsi="Calibri" w:cs="Calibri"/>
                <w:lang w:val="es-419"/>
              </w:rPr>
              <w:t>realiza</w:t>
            </w:r>
            <w:r w:rsidRPr="00536D8C">
              <w:rPr>
                <w:rFonts w:ascii="Calibri" w:eastAsia="Times New Roman" w:hAnsi="Calibri" w:cs="Calibri"/>
                <w:lang w:val="es-419"/>
              </w:rPr>
              <w:t>r texto escrito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6409" w14:textId="33177B74" w:rsidR="003B43EC" w:rsidRPr="00A9003E" w:rsidRDefault="003B43EC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036B7B" w:rsidRPr="00A9003E" w14:paraId="70EE7C9F" w14:textId="77777777" w:rsidTr="003B43EC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AE74" w14:textId="14E6BAA3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8B89" w14:textId="77777777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AFC1" w14:textId="32A353D8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 minutos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66A9" w14:textId="27DC7FCA" w:rsidR="00036B7B" w:rsidRPr="00A9003E" w:rsidRDefault="00036B7B" w:rsidP="002E7CE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horas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62A4" w14:textId="4B5D01D6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Escribir un texto articulado (con introducción, desarrollo y conclusión) de síntesis sobre las prácticas musicales que integre las respuestas a preguntas orientadoras y publicarlo en la Wiki.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3A84" w14:textId="399766E2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4BDF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</w:t>
            </w:r>
          </w:p>
          <w:p w14:paraId="2421CD6B" w14:textId="30219409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5D6D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3FD25830" w14:textId="22E8CAA8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09A6" w14:textId="0BA8CB99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Aportes en la wiki.</w:t>
            </w:r>
          </w:p>
          <w:p w14:paraId="3D4EDFF3" w14:textId="77777777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</w:p>
          <w:p w14:paraId="038E0CDF" w14:textId="753E745E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Rúbrica: </w:t>
            </w:r>
            <w:hyperlink r:id="rId10" w:history="1">
              <w:r w:rsidRPr="00536D8C">
                <w:rPr>
                  <w:rStyle w:val="Hipervnculo"/>
                  <w:rFonts w:ascii="Calibri" w:eastAsia="Times New Roman" w:hAnsi="Calibri" w:cs="Calibri"/>
                  <w:lang w:val="es-419"/>
                </w:rPr>
                <w:t xml:space="preserve">análisis de prácticas </w:t>
              </w:r>
              <w:proofErr w:type="spellStart"/>
              <w:r w:rsidRPr="00536D8C">
                <w:rPr>
                  <w:rStyle w:val="Hipervnculo"/>
                  <w:rFonts w:ascii="Calibri" w:eastAsia="Times New Roman" w:hAnsi="Calibri" w:cs="Calibri"/>
                  <w:lang w:val="es-419"/>
                </w:rPr>
                <w:t>músicales</w:t>
              </w:r>
              <w:proofErr w:type="spellEnd"/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7BE8" w14:textId="15378585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He</w:t>
            </w:r>
          </w:p>
        </w:tc>
      </w:tr>
      <w:tr w:rsidR="00036B7B" w:rsidRPr="00A9003E" w14:paraId="5E2A5E76" w14:textId="77777777" w:rsidTr="003B43EC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DE05" w14:textId="27E11A58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1BD7" w14:textId="77777777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DF85" w14:textId="74A6C7E0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 minutos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D80B" w14:textId="0DAE293F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 horas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F8F6" w14:textId="42EA32D3" w:rsidR="00036B7B" w:rsidRPr="00536D8C" w:rsidRDefault="00036B7B" w:rsidP="00CC0929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A partir de la síntesis de sus </w:t>
            </w:r>
            <w:proofErr w:type="gramStart"/>
            <w:r w:rsidRPr="00536D8C">
              <w:rPr>
                <w:rFonts w:ascii="Calibri" w:eastAsia="Times New Roman" w:hAnsi="Calibri" w:cs="Calibri"/>
                <w:lang w:val="es-419"/>
              </w:rPr>
              <w:t>compañeros  (</w:t>
            </w:r>
            <w:proofErr w:type="gramEnd"/>
            <w:r w:rsidRPr="00536D8C">
              <w:rPr>
                <w:rFonts w:ascii="Calibri" w:eastAsia="Times New Roman" w:hAnsi="Calibri" w:cs="Calibri"/>
                <w:lang w:val="es-419"/>
              </w:rPr>
              <w:t xml:space="preserve">wiki) y las lecturas generales, cree una infografía o representación gráfica que resuma el </w:t>
            </w:r>
            <w:r w:rsidRPr="00536D8C">
              <w:rPr>
                <w:rFonts w:ascii="Calibri" w:eastAsia="Times New Roman" w:hAnsi="Calibri" w:cs="Calibri"/>
                <w:lang w:val="es-419"/>
              </w:rPr>
              <w:lastRenderedPageBreak/>
              <w:t>panorama general de la música en Colombia en el siglo XIX.</w:t>
            </w:r>
            <w:r w:rsidR="00536D8C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Pr="00536D8C">
              <w:rPr>
                <w:rFonts w:ascii="Calibri" w:eastAsia="Times New Roman" w:hAnsi="Calibri" w:cs="Calibri"/>
                <w:lang w:val="es-419"/>
              </w:rPr>
              <w:t>Publicar infografía  en tablero colaborativo (Padlet)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BC7A" w14:textId="7428E624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lastRenderedPageBreak/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ACCF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</w:t>
            </w:r>
          </w:p>
          <w:p w14:paraId="56165642" w14:textId="1D4D6694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FCC2" w14:textId="77777777" w:rsidR="00036B7B" w:rsidRDefault="00036B7B" w:rsidP="00F664E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31F7F5D3" w14:textId="433C7BEA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A8DB" w14:textId="2F4BE573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Contenido de las infografías.</w:t>
            </w:r>
          </w:p>
          <w:p w14:paraId="15F2459F" w14:textId="77777777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</w:p>
          <w:p w14:paraId="109E5CF2" w14:textId="3A35EEE8" w:rsidR="00036B7B" w:rsidRPr="00536D8C" w:rsidRDefault="00036B7B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Rúbrica: </w:t>
            </w:r>
            <w:hyperlink r:id="rId11" w:history="1">
              <w:r w:rsidRPr="00536D8C">
                <w:rPr>
                  <w:rStyle w:val="Hipervnculo"/>
                  <w:rFonts w:ascii="Calibri" w:eastAsia="Times New Roman" w:hAnsi="Calibri" w:cs="Calibri"/>
                  <w:lang w:val="es-419"/>
                </w:rPr>
                <w:t>representación gráfica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79B8" w14:textId="6FC68E3E" w:rsidR="00036B7B" w:rsidRPr="00A9003E" w:rsidRDefault="00036B7B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lastRenderedPageBreak/>
              <w:t> </w:t>
            </w:r>
            <w:r>
              <w:rPr>
                <w:rFonts w:ascii="Calibri" w:eastAsia="Times New Roman" w:hAnsi="Calibri" w:cs="Calibri"/>
              </w:rPr>
              <w:t>He</w:t>
            </w:r>
          </w:p>
        </w:tc>
      </w:tr>
      <w:tr w:rsidR="00F813D5" w:rsidRPr="00A9003E" w14:paraId="273975E0" w14:textId="77777777" w:rsidTr="00B46E66">
        <w:trPr>
          <w:trHeight w:val="46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C129" w14:textId="03BC119A" w:rsidR="00F813D5" w:rsidRPr="00A9003E" w:rsidRDefault="00F813D5" w:rsidP="00B46E6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1A76ADCF" w14:textId="60FBE702" w:rsidR="00F813D5" w:rsidRPr="00A9003E" w:rsidRDefault="00F813D5" w:rsidP="00B46E6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A8FA" w14:textId="75E9BB93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634C" w14:textId="52D945B6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4AB3" w14:textId="518EE26B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1/2 hora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AB0A" w14:textId="2DACAF15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Observación de infografías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7BB1" w14:textId="11C65971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2611" w14:textId="735FD7F2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422C" w14:textId="3EEC5BBF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96AF" w14:textId="23EC0374" w:rsidR="00F813D5" w:rsidRPr="00536D8C" w:rsidRDefault="00F813D5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Argumentos para realizar texto escrito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856D" w14:textId="6F14F34A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F813D5" w:rsidRPr="00A9003E" w14:paraId="1F22A9CF" w14:textId="77777777" w:rsidTr="00A5038A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CC98" w14:textId="72122D0A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C23A" w14:textId="122EA2AF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1132" w14:textId="50C358F7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9B1B" w14:textId="1092247F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 horas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42E2" w14:textId="368EA570" w:rsidR="00F813D5" w:rsidRPr="00536D8C" w:rsidRDefault="00F813D5" w:rsidP="00CC0929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Realizar lecturas sobre los </w:t>
            </w:r>
            <w:r w:rsidR="00536D8C" w:rsidRPr="00536D8C">
              <w:rPr>
                <w:rFonts w:ascii="Calibri" w:eastAsia="Times New Roman" w:hAnsi="Calibri" w:cs="Calibri"/>
                <w:lang w:val="es-419"/>
              </w:rPr>
              <w:t>personajes de</w:t>
            </w:r>
            <w:r w:rsidRPr="00536D8C">
              <w:rPr>
                <w:rFonts w:ascii="Calibri" w:eastAsia="Times New Roman" w:hAnsi="Calibri" w:cs="Calibri"/>
                <w:lang w:val="es-419"/>
              </w:rPr>
              <w:t xml:space="preserve"> la vida musical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BD67" w14:textId="07A316A8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0870" w14:textId="3992FB08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795E" w14:textId="7F469CA3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A9003E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1.2.1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EC56" w14:textId="7150AB31" w:rsidR="00F813D5" w:rsidRPr="00536D8C" w:rsidRDefault="00F813D5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 Argumentos para </w:t>
            </w:r>
            <w:proofErr w:type="spellStart"/>
            <w:r w:rsidRPr="00536D8C">
              <w:rPr>
                <w:rFonts w:ascii="Calibri" w:eastAsia="Times New Roman" w:hAnsi="Calibri" w:cs="Calibri"/>
                <w:lang w:val="es-419"/>
              </w:rPr>
              <w:t>realizer</w:t>
            </w:r>
            <w:proofErr w:type="spellEnd"/>
            <w:r w:rsidRPr="00536D8C">
              <w:rPr>
                <w:rFonts w:ascii="Calibri" w:eastAsia="Times New Roman" w:hAnsi="Calibri" w:cs="Calibri"/>
                <w:lang w:val="es-419"/>
              </w:rPr>
              <w:t xml:space="preserve"> la agenda del melómano (diario)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42E8" w14:textId="3EC46CE3" w:rsidR="00F813D5" w:rsidRPr="00A9003E" w:rsidRDefault="00F813D5" w:rsidP="0038349B">
            <w:pPr>
              <w:rPr>
                <w:rFonts w:ascii="Calibri" w:eastAsia="Times New Roman" w:hAnsi="Calibri" w:cs="Calibri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 </w:t>
            </w: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6B61E2" w:rsidRPr="00A9003E" w14:paraId="59AA043B" w14:textId="77777777" w:rsidTr="003B43EC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2C86" w14:textId="77777777" w:rsidR="006B61E2" w:rsidRPr="00A9003E" w:rsidRDefault="006B61E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F0E3" w14:textId="77777777" w:rsidR="006B61E2" w:rsidRPr="00A9003E" w:rsidRDefault="006B61E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16FF" w14:textId="378AEA10" w:rsidR="006B61E2" w:rsidRPr="00A9003E" w:rsidRDefault="00F664EC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hora</w:t>
            </w:r>
            <w:r w:rsidR="002A7F27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0902" w14:textId="77777777" w:rsidR="006B61E2" w:rsidRPr="00A9003E" w:rsidRDefault="006B61E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596F" w14:textId="17F2FF8F" w:rsidR="006B61E2" w:rsidRPr="00536D8C" w:rsidRDefault="00F664EC" w:rsidP="00536D8C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Escribir una entrada al diario de prácticas musicales (Agenda de un melómano)</w:t>
            </w:r>
            <w:r w:rsidR="002A7F27" w:rsidRPr="00536D8C">
              <w:rPr>
                <w:rFonts w:ascii="Calibri" w:eastAsia="Times New Roman" w:hAnsi="Calibri" w:cs="Calibri"/>
                <w:lang w:val="es-419"/>
              </w:rPr>
              <w:t xml:space="preserve"> en donde explique la función, la utilidad y la importancia de las prácticas musicales en diferentes situaciones durante el siglo XIX en Colombia. Para ello, va</w:t>
            </w:r>
            <w:r w:rsidR="00536D8C" w:rsidRPr="00536D8C">
              <w:rPr>
                <w:rFonts w:ascii="Calibri" w:eastAsia="Times New Roman" w:hAnsi="Calibri" w:cs="Calibri"/>
                <w:lang w:val="es-419"/>
              </w:rPr>
              <w:t xml:space="preserve"> </w:t>
            </w:r>
            <w:r w:rsidR="002A7F27" w:rsidRPr="00536D8C">
              <w:rPr>
                <w:rFonts w:ascii="Calibri" w:eastAsia="Times New Roman" w:hAnsi="Calibri" w:cs="Calibri"/>
                <w:lang w:val="es-419"/>
              </w:rPr>
              <w:t>a imaginar que usted es un personaje de la época y va a narrar las diferentes actividades musicales en las que su personaje hubiera podido participar.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CAA4" w14:textId="67422C98" w:rsidR="006B61E2" w:rsidRPr="00A9003E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F2E2" w14:textId="2C2BF00D" w:rsidR="002A7F27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</w:t>
            </w:r>
          </w:p>
          <w:p w14:paraId="3CD2A4B7" w14:textId="77777777" w:rsidR="006B61E2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</w:t>
            </w:r>
          </w:p>
          <w:p w14:paraId="4124F52E" w14:textId="7805E3FB" w:rsidR="002A7F27" w:rsidRPr="00A9003E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C390" w14:textId="77777777" w:rsidR="006B61E2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15081CC8" w14:textId="77777777" w:rsidR="002A7F27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1.2.1</w:t>
            </w:r>
          </w:p>
          <w:p w14:paraId="41DECC70" w14:textId="7344DD39" w:rsidR="002A7F27" w:rsidRPr="00A9003E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6A99" w14:textId="77777777" w:rsidR="006B61E2" w:rsidRPr="00536D8C" w:rsidRDefault="002A7F27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Entradas en el </w:t>
            </w:r>
            <w:proofErr w:type="spellStart"/>
            <w:r w:rsidRPr="00536D8C">
              <w:rPr>
                <w:rFonts w:ascii="Calibri" w:eastAsia="Times New Roman" w:hAnsi="Calibri" w:cs="Calibri"/>
                <w:lang w:val="es-419"/>
              </w:rPr>
              <w:t>diaro</w:t>
            </w:r>
            <w:proofErr w:type="spellEnd"/>
            <w:r w:rsidRPr="00536D8C">
              <w:rPr>
                <w:rFonts w:ascii="Calibri" w:eastAsia="Times New Roman" w:hAnsi="Calibri" w:cs="Calibri"/>
                <w:lang w:val="es-419"/>
              </w:rPr>
              <w:t xml:space="preserve"> de la agenda del melómano</w:t>
            </w:r>
          </w:p>
          <w:p w14:paraId="7D995CAD" w14:textId="77777777" w:rsidR="002A7F27" w:rsidRPr="00536D8C" w:rsidRDefault="002A7F27" w:rsidP="0038349B">
            <w:pPr>
              <w:rPr>
                <w:rFonts w:ascii="Calibri" w:eastAsia="Times New Roman" w:hAnsi="Calibri" w:cs="Calibri"/>
                <w:lang w:val="es-419"/>
              </w:rPr>
            </w:pPr>
          </w:p>
          <w:p w14:paraId="1B55BFA7" w14:textId="1AA05BFD" w:rsidR="002A7F27" w:rsidRPr="00536D8C" w:rsidRDefault="002A7F27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Rúbrica: </w:t>
            </w:r>
            <w:hyperlink r:id="rId12" w:history="1">
              <w:r w:rsidRPr="00536D8C">
                <w:rPr>
                  <w:rStyle w:val="Hipervnculo"/>
                  <w:rFonts w:ascii="Calibri" w:eastAsia="Times New Roman" w:hAnsi="Calibri" w:cs="Calibri"/>
                  <w:lang w:val="es-419"/>
                </w:rPr>
                <w:t>Diario sobre prácticas musicales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30C6" w14:textId="53047954" w:rsidR="006B61E2" w:rsidRPr="00A9003E" w:rsidRDefault="002A7F27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</w:t>
            </w:r>
          </w:p>
        </w:tc>
      </w:tr>
      <w:tr w:rsidR="00463972" w:rsidRPr="00A9003E" w14:paraId="54017D3C" w14:textId="77777777" w:rsidTr="00463972">
        <w:trPr>
          <w:trHeight w:val="4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8642" w14:textId="7EB27413" w:rsidR="00463972" w:rsidRPr="00A9003E" w:rsidRDefault="00463972" w:rsidP="0046397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7676" w14:textId="77777777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303D" w14:textId="2C0D5D89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hora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43D73" w14:textId="77777777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61B79" w14:textId="6C0CAC11" w:rsidR="00463972" w:rsidRPr="00536D8C" w:rsidRDefault="00463972" w:rsidP="00B46E66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Seleccionar, leer tres de los diarios (agendas de melómanos) escritos por sus compañeros e identificar cómo cambian las prácticas musicales de acuerdo con personajes imaginados.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E1BA" w14:textId="6BDD6871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5E35" w14:textId="27FCBA54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F597" w14:textId="2584E4FC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6FA1" w14:textId="62B647CA" w:rsidR="00463972" w:rsidRPr="00536D8C" w:rsidRDefault="00463972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Comentarios realizados en las distintas agendas de melómanos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6228" w14:textId="05ED0846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463972" w:rsidRPr="00A9003E" w14:paraId="7732A022" w14:textId="77777777" w:rsidTr="00517611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BC51" w14:textId="77777777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C47EA" w14:textId="77777777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C9B4" w14:textId="3FBACC66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hora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D53B" w14:textId="57349683" w:rsidR="00463972" w:rsidRPr="00A9003E" w:rsidRDefault="00AC7384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463972">
              <w:rPr>
                <w:rFonts w:ascii="Calibri" w:eastAsia="Times New Roman" w:hAnsi="Calibri" w:cs="Calibri"/>
              </w:rPr>
              <w:t xml:space="preserve"> horas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2648" w14:textId="6042D3EF" w:rsidR="00463972" w:rsidRPr="00536D8C" w:rsidRDefault="00463972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 xml:space="preserve">Investigar sobre la vida de los compositores colombianos y sus obras, los eventos musicales, artísticos </w:t>
            </w:r>
            <w:r w:rsidRPr="00536D8C">
              <w:rPr>
                <w:rFonts w:ascii="Calibri" w:eastAsia="Times New Roman" w:hAnsi="Calibri" w:cs="Calibri"/>
                <w:lang w:val="es-419"/>
              </w:rPr>
              <w:lastRenderedPageBreak/>
              <w:t>y socioculturales; y sintetizar los resultados por medio de una línea de tiempo.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542C" w14:textId="77777777" w:rsidR="00463972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Act.</w:t>
            </w:r>
          </w:p>
          <w:p w14:paraId="219756B9" w14:textId="0164C95A" w:rsidR="00AC7384" w:rsidRPr="00A9003E" w:rsidRDefault="00AC7384" w:rsidP="0038349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C462" w14:textId="507E8DDC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C0E3" w14:textId="2214FEA0" w:rsidR="00463972" w:rsidRPr="00A9003E" w:rsidRDefault="00463972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A3C7" w14:textId="3D9C258E" w:rsidR="00463972" w:rsidRPr="00536D8C" w:rsidRDefault="00AC7384" w:rsidP="0038349B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Entradas en la línea de tiempo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BE91" w14:textId="1E2A1DC2" w:rsidR="00463972" w:rsidRPr="00A9003E" w:rsidRDefault="00AC7384" w:rsidP="0038349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</w:t>
            </w:r>
          </w:p>
        </w:tc>
      </w:tr>
      <w:tr w:rsidR="00AC7384" w:rsidRPr="00A9003E" w14:paraId="4EF3ABFA" w14:textId="77777777" w:rsidTr="00517611">
        <w:trPr>
          <w:trHeight w:val="4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B0B8" w14:textId="77777777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4648" w14:textId="77777777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FDEA" w14:textId="67615645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hora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D7F7" w14:textId="77777777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1663" w14:textId="4276942E" w:rsidR="00AC7384" w:rsidRPr="00536D8C" w:rsidRDefault="00AC7384" w:rsidP="0002637C">
            <w:pPr>
              <w:rPr>
                <w:rFonts w:ascii="Calibri" w:eastAsia="Times New Roman" w:hAnsi="Calibri" w:cs="Calibri"/>
                <w:lang w:val="es-419"/>
              </w:rPr>
            </w:pPr>
            <w:r w:rsidRPr="00536D8C">
              <w:rPr>
                <w:rFonts w:ascii="Calibri" w:eastAsia="Times New Roman" w:hAnsi="Calibri" w:cs="Calibri"/>
                <w:lang w:val="es-419"/>
              </w:rPr>
              <w:t>Pensar sobre los aprendizajes logrados en este primer módulo y las estrategias de aprendizaje empleadas.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D73D" w14:textId="5A1F86AC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Act.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1F177" w14:textId="77777777" w:rsidR="00AC7384" w:rsidRDefault="00AC7384" w:rsidP="00A7019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</w:t>
            </w:r>
          </w:p>
          <w:p w14:paraId="3BA92884" w14:textId="77777777" w:rsidR="00AC7384" w:rsidRDefault="00AC7384" w:rsidP="00A7019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</w:t>
            </w:r>
          </w:p>
          <w:p w14:paraId="646721FD" w14:textId="638411F7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B308" w14:textId="77777777" w:rsidR="00AC7384" w:rsidRDefault="00AC7384" w:rsidP="00A7019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1.1.1</w:t>
            </w:r>
          </w:p>
          <w:p w14:paraId="65EE0415" w14:textId="77777777" w:rsidR="00AC7384" w:rsidRDefault="00AC7384" w:rsidP="00A7019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1.2.1</w:t>
            </w:r>
          </w:p>
          <w:p w14:paraId="638FD727" w14:textId="771F9316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1.3.1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D0C1" w14:textId="49533145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Entradas en los </w:t>
            </w:r>
            <w:proofErr w:type="spellStart"/>
            <w:r>
              <w:rPr>
                <w:rFonts w:ascii="Calibri" w:eastAsia="Times New Roman" w:hAnsi="Calibri" w:cs="Calibri"/>
              </w:rPr>
              <w:t>diarios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50EE" w14:textId="4090CEDC" w:rsidR="00AC7384" w:rsidRPr="00A9003E" w:rsidRDefault="00AC7384" w:rsidP="0002637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He</w:t>
            </w:r>
          </w:p>
        </w:tc>
      </w:tr>
    </w:tbl>
    <w:p w14:paraId="0FD9276B" w14:textId="77777777" w:rsidR="00176163" w:rsidRDefault="00176163" w:rsidP="00176163">
      <w:pPr>
        <w:rPr>
          <w:lang w:val="es-CO"/>
        </w:rPr>
      </w:pPr>
    </w:p>
    <w:p w14:paraId="18A2C589" w14:textId="66055D94" w:rsidR="00176163" w:rsidRDefault="00176163"/>
    <w:sectPr w:rsidR="00176163" w:rsidSect="0056195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4B6D" w14:textId="77777777" w:rsidR="006757D5" w:rsidRDefault="006757D5">
      <w:r>
        <w:separator/>
      </w:r>
    </w:p>
  </w:endnote>
  <w:endnote w:type="continuationSeparator" w:id="0">
    <w:p w14:paraId="1FEB09D3" w14:textId="77777777" w:rsidR="006757D5" w:rsidRDefault="006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BF24" w14:textId="486C894D" w:rsidR="00F664EC" w:rsidRPr="002C158C" w:rsidRDefault="00F664EC" w:rsidP="0056195C">
    <w:pPr>
      <w:pStyle w:val="FooterRight"/>
      <w:tabs>
        <w:tab w:val="clear" w:pos="8640"/>
        <w:tab w:val="right" w:pos="9356"/>
      </w:tabs>
      <w:jc w:val="left"/>
    </w:pPr>
    <w:r>
      <w:rPr>
        <w:color w:val="000000"/>
      </w:rPr>
      <w:t>UNIANDES, curso CBCA-1160, versión 1.3</w:t>
    </w:r>
    <w:r>
      <w:rPr>
        <w:color w:val="000000"/>
      </w:rPr>
      <w:tab/>
    </w:r>
    <w:r w:rsidRPr="004101A8">
      <w:rPr>
        <w:color w:val="000000"/>
      </w:rPr>
      <w:tab/>
    </w:r>
    <w:r w:rsidRPr="004101A8">
      <w:rPr>
        <w:color w:val="000000"/>
      </w:rPr>
      <w:sym w:font="Wingdings 3" w:char="F07D"/>
    </w:r>
    <w:r>
      <w:t xml:space="preserve"> CASO 3 – P.</w:t>
    </w:r>
    <w:r>
      <w:fldChar w:fldCharType="begin"/>
    </w:r>
    <w:r>
      <w:instrText>PAGE  \* Arabic  \* MERGEFORMAT</w:instrText>
    </w:r>
    <w:r>
      <w:fldChar w:fldCharType="separate"/>
    </w:r>
    <w:r w:rsidR="00AC7384">
      <w:rPr>
        <w:noProof/>
      </w:rPr>
      <w:t>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7605" w14:textId="77777777" w:rsidR="006757D5" w:rsidRDefault="006757D5">
      <w:r>
        <w:separator/>
      </w:r>
    </w:p>
  </w:footnote>
  <w:footnote w:type="continuationSeparator" w:id="0">
    <w:p w14:paraId="29616969" w14:textId="77777777" w:rsidR="006757D5" w:rsidRDefault="0067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E795" w14:textId="2380F246" w:rsidR="00F664EC" w:rsidRDefault="00F664EC">
    <w:pPr>
      <w:pStyle w:val="Encabezado"/>
      <w:rPr>
        <w:color w:val="808080" w:themeColor="background1" w:themeShade="80"/>
        <w:lang w:val="es-CO"/>
      </w:rPr>
    </w:pPr>
    <w:r w:rsidRPr="00C502DC">
      <w:rPr>
        <w:color w:val="808080" w:themeColor="background1" w:themeShade="80"/>
        <w:lang w:val="es-CO"/>
      </w:rPr>
      <w:t>Formato para diseñ</w:t>
    </w:r>
    <w:r>
      <w:rPr>
        <w:color w:val="808080" w:themeColor="background1" w:themeShade="80"/>
        <w:lang w:val="es-CO"/>
      </w:rPr>
      <w:t>ar</w:t>
    </w:r>
    <w:r w:rsidRPr="00C502DC">
      <w:rPr>
        <w:color w:val="808080" w:themeColor="background1" w:themeShade="80"/>
        <w:lang w:val="es-CO"/>
      </w:rPr>
      <w:t xml:space="preserve"> </w:t>
    </w:r>
    <w:r>
      <w:rPr>
        <w:color w:val="808080" w:themeColor="background1" w:themeShade="80"/>
        <w:lang w:val="es-CO"/>
      </w:rPr>
      <w:t>unidades de enseñanza</w:t>
    </w:r>
    <w:r w:rsidRPr="00C502DC">
      <w:rPr>
        <w:color w:val="808080" w:themeColor="background1" w:themeShade="80"/>
        <w:lang w:val="es-CO"/>
      </w:rPr>
      <w:t xml:space="preserve"> por grandes ideas, con pedagogía activa y </w:t>
    </w:r>
    <w:r>
      <w:rPr>
        <w:color w:val="808080" w:themeColor="background1" w:themeShade="80"/>
        <w:lang w:val="es-CO"/>
      </w:rPr>
      <w:t>uso</w:t>
    </w:r>
    <w:r w:rsidRPr="00C502DC">
      <w:rPr>
        <w:color w:val="808080" w:themeColor="background1" w:themeShade="80"/>
        <w:lang w:val="es-CO"/>
      </w:rPr>
      <w:t xml:space="preserve"> </w:t>
    </w:r>
    <w:r>
      <w:rPr>
        <w:color w:val="808080" w:themeColor="background1" w:themeShade="80"/>
        <w:lang w:val="es-CO"/>
      </w:rPr>
      <w:t xml:space="preserve">de </w:t>
    </w:r>
    <w:r w:rsidRPr="00C502DC">
      <w:rPr>
        <w:color w:val="808080" w:themeColor="background1" w:themeShade="80"/>
        <w:lang w:val="es-CO"/>
      </w:rPr>
      <w:t>tecnología</w:t>
    </w:r>
    <w:r>
      <w:rPr>
        <w:color w:val="808080" w:themeColor="background1" w:themeShade="80"/>
        <w:lang w:val="es-CO"/>
      </w:rPr>
      <w:t xml:space="preserve">. </w:t>
    </w:r>
  </w:p>
  <w:p w14:paraId="284A146E" w14:textId="73899565" w:rsidR="00F664EC" w:rsidRDefault="00F664EC">
    <w:pPr>
      <w:pStyle w:val="Encabezado"/>
      <w:rPr>
        <w:color w:val="808080" w:themeColor="background1" w:themeShade="80"/>
        <w:lang w:val="es-CO"/>
      </w:rPr>
    </w:pPr>
    <w:r>
      <w:rPr>
        <w:color w:val="808080" w:themeColor="background1" w:themeShade="80"/>
        <w:lang w:val="es-CO"/>
      </w:rPr>
      <w:t>Versión 5.0, diseñado</w:t>
    </w:r>
    <w:r w:rsidRPr="00C502DC">
      <w:rPr>
        <w:color w:val="808080" w:themeColor="background1" w:themeShade="80"/>
        <w:lang w:val="es-CO"/>
      </w:rPr>
      <w:t xml:space="preserve"> </w:t>
    </w:r>
    <w:r>
      <w:rPr>
        <w:color w:val="808080" w:themeColor="background1" w:themeShade="80"/>
        <w:lang w:val="es-CO"/>
      </w:rPr>
      <w:t>Á</w:t>
    </w:r>
    <w:r w:rsidRPr="00C502DC">
      <w:rPr>
        <w:color w:val="808080" w:themeColor="background1" w:themeShade="80"/>
        <w:lang w:val="es-CO"/>
      </w:rPr>
      <w:t xml:space="preserve">lvaro </w:t>
    </w:r>
    <w:r>
      <w:rPr>
        <w:color w:val="808080" w:themeColor="background1" w:themeShade="80"/>
        <w:lang w:val="es-CO"/>
      </w:rPr>
      <w:t xml:space="preserve">H. </w:t>
    </w:r>
    <w:r w:rsidRPr="00C502DC">
      <w:rPr>
        <w:color w:val="808080" w:themeColor="background1" w:themeShade="80"/>
        <w:lang w:val="es-CO"/>
      </w:rPr>
      <w:t>Galvis</w:t>
    </w:r>
    <w:r>
      <w:rPr>
        <w:color w:val="808080" w:themeColor="background1" w:themeShade="80"/>
        <w:lang w:val="es-CO"/>
      </w:rPr>
      <w:t xml:space="preserve"> y ajustado con aportes de equipo Conecta-TE</w:t>
    </w:r>
    <w:r w:rsidRPr="00C502DC">
      <w:rPr>
        <w:color w:val="808080" w:themeColor="background1" w:themeShade="80"/>
        <w:lang w:val="es-CO"/>
      </w:rPr>
      <w:t xml:space="preserve">, </w:t>
    </w:r>
    <w:r>
      <w:rPr>
        <w:color w:val="808080" w:themeColor="background1" w:themeShade="80"/>
        <w:lang w:val="es-CO"/>
      </w:rPr>
      <w:t xml:space="preserve">© 2019 </w:t>
    </w:r>
  </w:p>
  <w:p w14:paraId="3CFE8F4F" w14:textId="77777777" w:rsidR="00F664EC" w:rsidRPr="00C502DC" w:rsidRDefault="00F664EC">
    <w:pPr>
      <w:pStyle w:val="Encabezado"/>
      <w:rPr>
        <w:color w:val="808080" w:themeColor="background1" w:themeShade="8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6E8"/>
    <w:multiLevelType w:val="hybridMultilevel"/>
    <w:tmpl w:val="8388923C"/>
    <w:lvl w:ilvl="0" w:tplc="0CF4585A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058"/>
    <w:multiLevelType w:val="hybridMultilevel"/>
    <w:tmpl w:val="4EA8115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FAE3A7E"/>
    <w:multiLevelType w:val="hybridMultilevel"/>
    <w:tmpl w:val="49246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399"/>
    <w:multiLevelType w:val="hybridMultilevel"/>
    <w:tmpl w:val="6006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0739"/>
    <w:multiLevelType w:val="hybridMultilevel"/>
    <w:tmpl w:val="9F6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EF9"/>
    <w:multiLevelType w:val="hybridMultilevel"/>
    <w:tmpl w:val="FDB6C5B4"/>
    <w:lvl w:ilvl="0" w:tplc="DD6E499A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C20B1"/>
    <w:multiLevelType w:val="hybridMultilevel"/>
    <w:tmpl w:val="971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84B"/>
    <w:multiLevelType w:val="hybridMultilevel"/>
    <w:tmpl w:val="B3D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41439"/>
    <w:multiLevelType w:val="hybridMultilevel"/>
    <w:tmpl w:val="43545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46F2"/>
    <w:multiLevelType w:val="hybridMultilevel"/>
    <w:tmpl w:val="D7F2E098"/>
    <w:lvl w:ilvl="0" w:tplc="5AB4308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A47"/>
    <w:multiLevelType w:val="hybridMultilevel"/>
    <w:tmpl w:val="5AA4A1C2"/>
    <w:lvl w:ilvl="0" w:tplc="5AB4308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6B99"/>
    <w:multiLevelType w:val="hybridMultilevel"/>
    <w:tmpl w:val="4C0A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E4A62"/>
    <w:multiLevelType w:val="hybridMultilevel"/>
    <w:tmpl w:val="BD9E0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309"/>
    <w:multiLevelType w:val="hybridMultilevel"/>
    <w:tmpl w:val="92486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281"/>
    <w:multiLevelType w:val="hybridMultilevel"/>
    <w:tmpl w:val="B2BA4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3D06"/>
    <w:multiLevelType w:val="hybridMultilevel"/>
    <w:tmpl w:val="C11C0334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EE1"/>
    <w:multiLevelType w:val="hybridMultilevel"/>
    <w:tmpl w:val="897A716E"/>
    <w:lvl w:ilvl="0" w:tplc="C0261ED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7FB"/>
    <w:multiLevelType w:val="hybridMultilevel"/>
    <w:tmpl w:val="B65C5D9E"/>
    <w:lvl w:ilvl="0" w:tplc="DD6E49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44E3B"/>
    <w:multiLevelType w:val="hybridMultilevel"/>
    <w:tmpl w:val="028E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F5787"/>
    <w:multiLevelType w:val="hybridMultilevel"/>
    <w:tmpl w:val="3A1252CA"/>
    <w:lvl w:ilvl="0" w:tplc="9EA47AF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340A8"/>
    <w:multiLevelType w:val="hybridMultilevel"/>
    <w:tmpl w:val="6608B6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07544"/>
    <w:multiLevelType w:val="hybridMultilevel"/>
    <w:tmpl w:val="2622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72BFF"/>
    <w:multiLevelType w:val="hybridMultilevel"/>
    <w:tmpl w:val="FF92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65993"/>
    <w:multiLevelType w:val="hybridMultilevel"/>
    <w:tmpl w:val="4BB84A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1"/>
  </w:num>
  <w:num w:numId="5">
    <w:abstractNumId w:val="22"/>
  </w:num>
  <w:num w:numId="6">
    <w:abstractNumId w:val="3"/>
  </w:num>
  <w:num w:numId="7">
    <w:abstractNumId w:val="12"/>
  </w:num>
  <w:num w:numId="8">
    <w:abstractNumId w:val="21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10"/>
  </w:num>
  <w:num w:numId="16">
    <w:abstractNumId w:val="8"/>
  </w:num>
  <w:num w:numId="17">
    <w:abstractNumId w:val="13"/>
  </w:num>
  <w:num w:numId="18">
    <w:abstractNumId w:val="14"/>
  </w:num>
  <w:num w:numId="19">
    <w:abstractNumId w:val="23"/>
  </w:num>
  <w:num w:numId="20">
    <w:abstractNumId w:val="2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1C6"/>
    <w:rsid w:val="00017740"/>
    <w:rsid w:val="000256C6"/>
    <w:rsid w:val="0002637C"/>
    <w:rsid w:val="00030007"/>
    <w:rsid w:val="00036B7B"/>
    <w:rsid w:val="000C0E47"/>
    <w:rsid w:val="000D2C96"/>
    <w:rsid w:val="00100CF7"/>
    <w:rsid w:val="00124E0C"/>
    <w:rsid w:val="00176163"/>
    <w:rsid w:val="001B6E9D"/>
    <w:rsid w:val="001B7107"/>
    <w:rsid w:val="002158D4"/>
    <w:rsid w:val="00270262"/>
    <w:rsid w:val="002A5383"/>
    <w:rsid w:val="002A7F27"/>
    <w:rsid w:val="002B1358"/>
    <w:rsid w:val="002E7CE9"/>
    <w:rsid w:val="00303A21"/>
    <w:rsid w:val="0035737F"/>
    <w:rsid w:val="0038349B"/>
    <w:rsid w:val="003A3D14"/>
    <w:rsid w:val="003A694A"/>
    <w:rsid w:val="003B43EC"/>
    <w:rsid w:val="003D058A"/>
    <w:rsid w:val="003D16EF"/>
    <w:rsid w:val="003D505D"/>
    <w:rsid w:val="003E7D87"/>
    <w:rsid w:val="003F1BA4"/>
    <w:rsid w:val="00420F89"/>
    <w:rsid w:val="00452E4A"/>
    <w:rsid w:val="00463972"/>
    <w:rsid w:val="00486778"/>
    <w:rsid w:val="00493887"/>
    <w:rsid w:val="004D5FD5"/>
    <w:rsid w:val="004E0A7F"/>
    <w:rsid w:val="00511B02"/>
    <w:rsid w:val="00523819"/>
    <w:rsid w:val="00536D8C"/>
    <w:rsid w:val="00554781"/>
    <w:rsid w:val="0056195C"/>
    <w:rsid w:val="00586F44"/>
    <w:rsid w:val="005A7FF7"/>
    <w:rsid w:val="005E4F3D"/>
    <w:rsid w:val="005E7C67"/>
    <w:rsid w:val="0060693E"/>
    <w:rsid w:val="006333B9"/>
    <w:rsid w:val="00634393"/>
    <w:rsid w:val="006705DA"/>
    <w:rsid w:val="006757D5"/>
    <w:rsid w:val="006919F3"/>
    <w:rsid w:val="006A37C3"/>
    <w:rsid w:val="006B61E2"/>
    <w:rsid w:val="007110B7"/>
    <w:rsid w:val="007313BA"/>
    <w:rsid w:val="00785567"/>
    <w:rsid w:val="007B5417"/>
    <w:rsid w:val="007C24BB"/>
    <w:rsid w:val="007D0846"/>
    <w:rsid w:val="00896983"/>
    <w:rsid w:val="008C1672"/>
    <w:rsid w:val="008D21FC"/>
    <w:rsid w:val="008D764C"/>
    <w:rsid w:val="008E0971"/>
    <w:rsid w:val="00900ADA"/>
    <w:rsid w:val="00910044"/>
    <w:rsid w:val="0093436E"/>
    <w:rsid w:val="00943643"/>
    <w:rsid w:val="00964C0B"/>
    <w:rsid w:val="0099741C"/>
    <w:rsid w:val="00A0101D"/>
    <w:rsid w:val="00A100B0"/>
    <w:rsid w:val="00A37340"/>
    <w:rsid w:val="00A640FE"/>
    <w:rsid w:val="00A81685"/>
    <w:rsid w:val="00AA0F9B"/>
    <w:rsid w:val="00AC7384"/>
    <w:rsid w:val="00AD42BC"/>
    <w:rsid w:val="00B2561F"/>
    <w:rsid w:val="00B46E66"/>
    <w:rsid w:val="00BD350F"/>
    <w:rsid w:val="00C82848"/>
    <w:rsid w:val="00CA0149"/>
    <w:rsid w:val="00CC0929"/>
    <w:rsid w:val="00CD7D56"/>
    <w:rsid w:val="00CF3DC1"/>
    <w:rsid w:val="00D21C22"/>
    <w:rsid w:val="00D2580B"/>
    <w:rsid w:val="00D355B9"/>
    <w:rsid w:val="00D53976"/>
    <w:rsid w:val="00D728A0"/>
    <w:rsid w:val="00DC4F88"/>
    <w:rsid w:val="00DF3E18"/>
    <w:rsid w:val="00DF602D"/>
    <w:rsid w:val="00E07D19"/>
    <w:rsid w:val="00E54BC4"/>
    <w:rsid w:val="00E92DF5"/>
    <w:rsid w:val="00EB724C"/>
    <w:rsid w:val="00EE31C6"/>
    <w:rsid w:val="00F4709C"/>
    <w:rsid w:val="00F664EC"/>
    <w:rsid w:val="00F813D5"/>
    <w:rsid w:val="00F87C77"/>
    <w:rsid w:val="00FC6717"/>
    <w:rsid w:val="00FD1016"/>
    <w:rsid w:val="00FD6645"/>
    <w:rsid w:val="00FF3D04"/>
    <w:rsid w:val="67E3B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41BB6"/>
  <w15:docId w15:val="{41338F59-AF90-4B3A-9E7F-EAFA1BE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C6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E31C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31C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4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31C6"/>
    <w:rPr>
      <w:rFonts w:ascii="Arial Narrow" w:eastAsiaTheme="majorEastAsia" w:hAnsi="Arial Narrow" w:cstheme="majorBidi"/>
      <w:color w:val="2F5496" w:themeColor="accent1" w:themeShade="BF"/>
      <w:sz w:val="32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rsid w:val="00EE31C6"/>
    <w:rPr>
      <w:rFonts w:ascii="Arial Narrow" w:eastAsiaTheme="majorEastAsia" w:hAnsi="Arial Narrow" w:cstheme="majorBidi"/>
      <w:color w:val="2F5496" w:themeColor="accent1" w:themeShade="BF"/>
      <w:sz w:val="28"/>
      <w:szCs w:val="26"/>
      <w:lang w:eastAsia="ja-JP"/>
    </w:rPr>
  </w:style>
  <w:style w:type="paragraph" w:styleId="Sinespaciado">
    <w:name w:val="No Spacing"/>
    <w:link w:val="SinespaciadoCar"/>
    <w:uiPriority w:val="1"/>
    <w:qFormat/>
    <w:rsid w:val="00EE31C6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E3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E31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customStyle="1" w:styleId="FooterRight">
    <w:name w:val="Footer Right"/>
    <w:basedOn w:val="Piedepgina"/>
    <w:uiPriority w:val="99"/>
    <w:rsid w:val="00EE31C6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/>
      <w:color w:val="7F7F7F"/>
      <w:sz w:val="20"/>
      <w:szCs w:val="20"/>
      <w:lang w:val="es-ES" w:eastAsia="fr-FR"/>
    </w:rPr>
  </w:style>
  <w:style w:type="paragraph" w:styleId="Descripcin">
    <w:name w:val="caption"/>
    <w:basedOn w:val="Normal"/>
    <w:next w:val="Normal"/>
    <w:unhideWhenUsed/>
    <w:qFormat/>
    <w:rsid w:val="00EE31C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Car">
    <w:name w:val="Título Car"/>
    <w:basedOn w:val="Fuentedeprrafopredeter"/>
    <w:link w:val="Ttulo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EE3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Fuentedeprrafopredeter"/>
    <w:uiPriority w:val="10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EE31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39"/>
    <w:rsid w:val="00EB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DC4F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normaltextrun">
    <w:name w:val="normaltextrun"/>
    <w:basedOn w:val="Fuentedeprrafopredeter"/>
    <w:rsid w:val="00A0101D"/>
  </w:style>
  <w:style w:type="character" w:customStyle="1" w:styleId="eop">
    <w:name w:val="eop"/>
    <w:basedOn w:val="Fuentedeprrafopredeter"/>
    <w:rsid w:val="00A0101D"/>
  </w:style>
  <w:style w:type="character" w:customStyle="1" w:styleId="contextualspellingandgrammarerror">
    <w:name w:val="contextualspellingandgrammarerror"/>
    <w:basedOn w:val="Fuentedeprrafopredeter"/>
    <w:rsid w:val="00A0101D"/>
  </w:style>
  <w:style w:type="paragraph" w:customStyle="1" w:styleId="paragraph">
    <w:name w:val="paragraph"/>
    <w:basedOn w:val="Normal"/>
    <w:rsid w:val="007110B7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5737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7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yF4eheQ9VGA5s0WaYOXpdDzfoZVNgP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wy_Jp0OdTozQk1w_6eu12UB7QpgrlJ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SSMInkkh84c-cTeWq6pMlyF7tMs_MZq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Kol05</b:Tag>
    <b:SourceType>ArticleInAPeriodical</b:SourceType>
    <b:Guid>{4182821B-BC18-4E07-9A29-F0F0EED893DC}</b:Guid>
    <b:Author>
      <b:Author>
        <b:NameList>
          <b:Person>
            <b:Last>Kolb</b:Last>
            <b:First>Alice</b:First>
            <b:Middle>Y.</b:Middle>
          </b:Person>
          <b:Person>
            <b:Last>Kolb</b:Last>
            <b:First>David</b:First>
            <b:Middle>A.</b:Middle>
          </b:Person>
        </b:NameList>
      </b:Author>
    </b:Author>
    <b:Title>Learning Styles and Learning Spaces: Enhancing Experiential Learning in Higher Education</b:Title>
    <b:PeriodicalTitle>Academy of Management Learning &amp; Education</b:PeriodicalTitle>
    <b:Year>2005</b:Year>
    <b:Pages>193-212</b:Pages>
    <b:Volume>4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A7255BE4-F442-4451-A7C4-C32819B5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1659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Hernan Galvis Panqueva</dc:creator>
  <cp:keywords/>
  <dc:description/>
  <cp:lastModifiedBy>Alvaro Hernan Galvis Panqueva</cp:lastModifiedBy>
  <cp:revision>68</cp:revision>
  <cp:lastPrinted>2019-06-29T23:31:00Z</cp:lastPrinted>
  <dcterms:created xsi:type="dcterms:W3CDTF">2019-03-30T16:52:00Z</dcterms:created>
  <dcterms:modified xsi:type="dcterms:W3CDTF">2019-06-30T21:27:00Z</dcterms:modified>
</cp:coreProperties>
</file>